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C022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3760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17.04.2017 N 452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3760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</w:t>
            </w:r>
            <w:r>
              <w:rPr>
                <w:sz w:val="28"/>
                <w:szCs w:val="28"/>
              </w:rPr>
              <w:t>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37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3760F">
      <w:pPr>
        <w:pStyle w:val="ConsPlusNormal"/>
        <w:jc w:val="both"/>
        <w:outlineLvl w:val="0"/>
      </w:pPr>
    </w:p>
    <w:p w:rsidR="00000000" w:rsidRDefault="00F376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F3760F">
      <w:pPr>
        <w:pStyle w:val="ConsPlusTitle"/>
        <w:jc w:val="center"/>
      </w:pPr>
    </w:p>
    <w:p w:rsidR="00000000" w:rsidRDefault="00F3760F">
      <w:pPr>
        <w:pStyle w:val="ConsPlusTitle"/>
        <w:jc w:val="center"/>
      </w:pPr>
      <w:r>
        <w:t>ПОСТАНОВЛЕНИЕ</w:t>
      </w:r>
    </w:p>
    <w:p w:rsidR="00000000" w:rsidRDefault="00F3760F">
      <w:pPr>
        <w:pStyle w:val="ConsPlusTitle"/>
        <w:jc w:val="center"/>
      </w:pPr>
      <w:r>
        <w:t>от 17 апреля 2017 г. N 452</w:t>
      </w:r>
    </w:p>
    <w:p w:rsidR="00000000" w:rsidRDefault="00F3760F">
      <w:pPr>
        <w:pStyle w:val="ConsPlusTitle"/>
        <w:jc w:val="center"/>
      </w:pPr>
    </w:p>
    <w:p w:rsidR="00000000" w:rsidRDefault="00F3760F">
      <w:pPr>
        <w:pStyle w:val="ConsPlusTitle"/>
        <w:jc w:val="center"/>
      </w:pPr>
      <w:r>
        <w:t>ОБ ИСЧЕРПЫВАЮЩЕМ ПЕРЕЧНЕ</w:t>
      </w:r>
    </w:p>
    <w:p w:rsidR="00000000" w:rsidRDefault="00F3760F">
      <w:pPr>
        <w:pStyle w:val="ConsPlusTitle"/>
        <w:jc w:val="center"/>
      </w:pPr>
      <w:r>
        <w:t>ПРОЦЕДУР В СФЕРЕ СТРОИТЕЛЬСТВА СЕТЕЙ ТЕПЛОСНАБЖЕНИЯ</w:t>
      </w:r>
    </w:p>
    <w:p w:rsidR="00000000" w:rsidRDefault="00F3760F">
      <w:pPr>
        <w:pStyle w:val="ConsPlusTitle"/>
        <w:jc w:val="center"/>
      </w:pPr>
      <w:r>
        <w:t>И О ПРАВИЛАХ ВНЕСЕНИЯ В НЕГО ИЗМЕНЕНИЙ И ВЕДЕНИЯ РЕЕСТРА</w:t>
      </w:r>
    </w:p>
    <w:p w:rsidR="00000000" w:rsidRDefault="00F3760F">
      <w:pPr>
        <w:pStyle w:val="ConsPlusTitle"/>
        <w:jc w:val="center"/>
      </w:pPr>
      <w:r>
        <w:t>ОПИСАНИЙ ПРОЦЕДУР, УКАЗАННЫХ В ИСЧЕРПЫВАЮЩЕМ ПЕРЕЧНЕ</w:t>
      </w:r>
    </w:p>
    <w:p w:rsidR="00000000" w:rsidRDefault="00F3760F">
      <w:pPr>
        <w:pStyle w:val="ConsPlusTitle"/>
        <w:jc w:val="center"/>
      </w:pPr>
      <w:r>
        <w:t>ПРОЦЕДУР В СФЕРЕ СТРОИТЕЛЬСТВА СЕТЕЙ ТЕПЛОСНАБЖЕНИЯ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Градостроительный кодекс Российской Федерации&quot; от 29.12.2004 N 190-ФЗ (ред. от 29.07.2017) (с изм. и доп., вступ. в силу с 11.08.2017){КонсультантПлюс}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00000" w:rsidRDefault="00F3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760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F3760F">
      <w:pPr>
        <w:pStyle w:val="ConsPlusNormal"/>
        <w:ind w:firstLine="540"/>
        <w:jc w:val="both"/>
      </w:pPr>
      <w:r>
        <w:t xml:space="preserve">Пункт 1 </w:t>
      </w:r>
      <w:hyperlink w:anchor="Par27" w:tooltip="5. Установить, что пункт 1 настоящего постановления вступает в силу по истечении 6 месяцев со дня официального опубликования настоящего постановления." w:history="1">
        <w:r>
          <w:rPr>
            <w:color w:val="0000FF"/>
          </w:rPr>
          <w:t>вступает</w:t>
        </w:r>
      </w:hyperlink>
      <w:r>
        <w:t xml:space="preserve"> в силу с 25 октября 2017 года.</w:t>
      </w:r>
    </w:p>
    <w:p w:rsidR="00000000" w:rsidRDefault="00F3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760F">
      <w:pPr>
        <w:pStyle w:val="ConsPlusNormal"/>
        <w:ind w:firstLine="540"/>
        <w:jc w:val="both"/>
      </w:pPr>
      <w:bookmarkStart w:id="1" w:name="Par17"/>
      <w:bookmarkEnd w:id="1"/>
      <w:r>
        <w:t>1. Утвердить прилагаемые: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исчерпывающий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процедур);</w:t>
      </w:r>
    </w:p>
    <w:p w:rsidR="00000000" w:rsidRDefault="00F3760F">
      <w:pPr>
        <w:pStyle w:val="ConsPlusNormal"/>
        <w:spacing w:before="200"/>
        <w:ind w:firstLine="540"/>
        <w:jc w:val="both"/>
      </w:pPr>
      <w:hyperlink w:anchor="Par194" w:tooltip="ПРАВИЛА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</w:t>
      </w:r>
      <w:r>
        <w:t>ва сетей теплоснабжения;</w:t>
      </w:r>
    </w:p>
    <w:p w:rsidR="00000000" w:rsidRDefault="00F3760F">
      <w:pPr>
        <w:pStyle w:val="ConsPlusNormal"/>
        <w:spacing w:before="200"/>
        <w:ind w:firstLine="540"/>
        <w:jc w:val="both"/>
      </w:pPr>
      <w:hyperlink w:anchor="Par213" w:tooltip="ПРАВИЛА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2. Министерству строительства и жилищно-коммунального хозяйства Р</w:t>
      </w:r>
      <w:r>
        <w:t>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</w:t>
      </w:r>
      <w:r>
        <w:t xml:space="preserve">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2" w:name="Par22"/>
      <w:bookmarkEnd w:id="2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</w:t>
      </w:r>
      <w:r>
        <w:t>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</w:t>
      </w:r>
      <w:r>
        <w:t xml:space="preserve">стного самоуправления,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ar22" w:tooltip="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стного...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в течение 3 месяцев со дня вступле</w:t>
      </w:r>
      <w:r>
        <w:t xml:space="preserve">ния в силу настоящего постановления утвердить </w:t>
      </w:r>
      <w:hyperlink r:id="rId9" w:tooltip="Приказ Минстроя России от 26.06.2017 N 920/пр &quot;Об утверждении формы реестра описаний процедур, указанных в исчерпывающем перечне процедур в сфере строительства сетей теплоснабжения, утвержденном постановлением Правительства Российской Федерации от 17 апреля 2017 г. N 452&quot; (Зарегистрировано в Минюсте России 18.07.2017 N 47439){КонсультантПлюс}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обеспечить ведение реестра описаний процедур,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процедур, в с</w:t>
      </w:r>
      <w:r>
        <w:t xml:space="preserve">оответствии с </w:t>
      </w:r>
      <w:hyperlink w:anchor="Par213" w:tooltip="ПРАВИЛА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теплоснабжения, утвержденными настоящим постановлением, и разместить данный реестр на свое</w:t>
      </w:r>
      <w:r>
        <w:t>м официальном сайте в информационно-телекоммуникационной сети "Интернет" в течение 6 месяцев со дня вступления в силу настоящего постановления.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3" w:name="Par27"/>
      <w:bookmarkEnd w:id="3"/>
      <w:r>
        <w:lastRenderedPageBreak/>
        <w:t xml:space="preserve">5. Установить, что </w:t>
      </w:r>
      <w:hyperlink w:anchor="Par17" w:tooltip="1. Утвердить прилагаемые:" w:history="1">
        <w:r>
          <w:rPr>
            <w:color w:val="0000FF"/>
          </w:rPr>
          <w:t>пункт 1</w:t>
        </w:r>
      </w:hyperlink>
      <w:r>
        <w:t xml:space="preserve"> настоящего постановлен</w:t>
      </w:r>
      <w:r>
        <w:t>ия вступает в силу по истечении 6 месяцев со дня официального опубликования настоящего постановления.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right"/>
      </w:pPr>
      <w:r>
        <w:t>Председатель Правительства</w:t>
      </w:r>
    </w:p>
    <w:p w:rsidR="00000000" w:rsidRDefault="00F3760F">
      <w:pPr>
        <w:pStyle w:val="ConsPlusNormal"/>
        <w:jc w:val="right"/>
      </w:pPr>
      <w:r>
        <w:t>Российской Федерации</w:t>
      </w:r>
    </w:p>
    <w:p w:rsidR="00000000" w:rsidRDefault="00F3760F">
      <w:pPr>
        <w:pStyle w:val="ConsPlusNormal"/>
        <w:jc w:val="right"/>
      </w:pPr>
      <w:r>
        <w:t>Д.МЕДВЕДЕВ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right"/>
        <w:outlineLvl w:val="0"/>
      </w:pPr>
      <w:r>
        <w:t>Утвержден</w:t>
      </w:r>
    </w:p>
    <w:p w:rsidR="00000000" w:rsidRDefault="00F3760F">
      <w:pPr>
        <w:pStyle w:val="ConsPlusNormal"/>
        <w:jc w:val="right"/>
      </w:pPr>
      <w:r>
        <w:t>постановлением Правительства</w:t>
      </w:r>
    </w:p>
    <w:p w:rsidR="00000000" w:rsidRDefault="00F3760F">
      <w:pPr>
        <w:pStyle w:val="ConsPlusNormal"/>
        <w:jc w:val="right"/>
      </w:pPr>
      <w:r>
        <w:t>Российской Федерации</w:t>
      </w:r>
    </w:p>
    <w:p w:rsidR="00000000" w:rsidRDefault="00F3760F">
      <w:pPr>
        <w:pStyle w:val="ConsPlusNormal"/>
        <w:jc w:val="right"/>
      </w:pPr>
      <w:r>
        <w:t>от 17 апреля 2017 г. N 452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Title"/>
        <w:jc w:val="center"/>
      </w:pPr>
      <w:bookmarkStart w:id="4" w:name="Par42"/>
      <w:bookmarkEnd w:id="4"/>
      <w:r>
        <w:t>ИСЧЕРПЫВАЮЩИЙ ПЕРЕЧЕНЬ</w:t>
      </w:r>
    </w:p>
    <w:p w:rsidR="00000000" w:rsidRDefault="00F3760F">
      <w:pPr>
        <w:pStyle w:val="ConsPlusTitle"/>
        <w:jc w:val="center"/>
      </w:pPr>
      <w:r>
        <w:t>ПРОЦЕДУР В СФЕРЕ СТРОИТЕЛЬСТВА СЕТЕЙ ТЕПЛОСНАБЖЕНИЯ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1"/>
      </w:pPr>
      <w:bookmarkStart w:id="5" w:name="Par45"/>
      <w:bookmarkEnd w:id="5"/>
      <w:r>
        <w:t>I. Процедуры, предусмотренные нормативными правовыми актами</w:t>
      </w:r>
    </w:p>
    <w:p w:rsidR="00000000" w:rsidRDefault="00F3760F">
      <w:pPr>
        <w:pStyle w:val="ConsPlusNormal"/>
        <w:jc w:val="center"/>
      </w:pPr>
      <w:r>
        <w:t>Российской Федерации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2"/>
      </w:pPr>
      <w:r>
        <w:t>1. Процедуры, связанные с предоставлением прав на земельный</w:t>
      </w:r>
    </w:p>
    <w:p w:rsidR="00000000" w:rsidRDefault="00F3760F">
      <w:pPr>
        <w:pStyle w:val="ConsPlusNormal"/>
        <w:jc w:val="center"/>
      </w:pPr>
      <w:r>
        <w:t>участок и подготов</w:t>
      </w:r>
      <w:r>
        <w:t>кой документации по планировке территории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2. Заключение дого</w:t>
      </w:r>
      <w:r>
        <w:t>вора аренды земельного участка для комплексного освоения территории и договора о комплексном освоении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 по инициативе органа местного самоуправлен</w:t>
      </w:r>
      <w:r>
        <w:t>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4. Заключение договора о комплексном развитии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6. Заключение договора о комплексном освоен</w:t>
      </w:r>
      <w:r>
        <w:t>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7. Принятие решения о подготовке документации по </w:t>
      </w:r>
      <w:r>
        <w:t>планировке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8. Утверждение документации по планировке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12. Организация и проведение а</w:t>
      </w:r>
      <w:r>
        <w:t>укциона на право заключения договора о развитии застроенной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13. Заключение договора о развитии застроенной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14. Представление межевого плана.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15. Принятие решения об утверждении схемы расположения земельного участка на кадастровом пл</w:t>
      </w:r>
      <w:r>
        <w:t>ане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17. Государственный кадастровый учет объекта недвижимости - земельного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18. Заключение договора аренды земельного участка, который находится в го</w:t>
      </w:r>
      <w:r>
        <w:t>сударственной или муниципальной собственности.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20. Принятие решения об изъятии земельных участков для государственных и муниципальных нужд.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21.</w:t>
      </w:r>
      <w:r>
        <w:t xml:space="preserve">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</w:t>
      </w:r>
      <w:r>
        <w:t>о, изъятое для государственных или муниципальных нужд.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23. Представление согласия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</w:t>
      </w:r>
      <w:r>
        <w:t>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</w:t>
      </w:r>
      <w:r>
        <w:t>ой собственности.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25. Государственная регистрация сервитута.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26. Представление градостроительного плана земельного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27. Представление согласования проектирования и строительства объектов в пределах приаэродромной территории.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28. Представление согла</w:t>
      </w:r>
      <w:r>
        <w:t>сования размещения объектов в границах полосы отвода железных дорог.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29. Представление согласия на планируемое размещение инженерных коммуникаций в границах полосы отвода автомобильной дороги.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30. Заключение с владельцем автомобильной дороги договора, вклю</w:t>
      </w:r>
      <w:r>
        <w:t>чающего в себя технические требования и условия, подлежащие обязательному исполнению владельцами инженерных коммуникаций.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31. Представление решения об установлении публичного сервитута в отношении земельного участка в границах полосы отвода автомобильной д</w:t>
      </w:r>
      <w:r>
        <w:t>ороги.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32.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2"/>
      </w:pPr>
      <w:r>
        <w:t>2. Проце</w:t>
      </w:r>
      <w:r>
        <w:t>дуры, связанные с предоставлением прав на лесной</w:t>
      </w:r>
    </w:p>
    <w:p w:rsidR="00000000" w:rsidRDefault="00F3760F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33. Утверждение проектной документации лесного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34. Заключение договора аренды лесного участка.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35. Утверждение пол</w:t>
      </w:r>
      <w:r>
        <w:t>ожительного заключения государственной или муниципальной экспертизы проекта освоения лесов.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36. Направление лесной декларации.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37. Направление отчета об использовании лесов.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38. Направление отчета об охране и защите лесов.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39. Направление отчета о воспроиз</w:t>
      </w:r>
      <w:r>
        <w:t>водстве лесов и лесоразведении.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2"/>
      </w:pPr>
      <w:r>
        <w:t>3. Процедуры, связанные с заключением</w:t>
      </w:r>
    </w:p>
    <w:p w:rsidR="00000000" w:rsidRDefault="00F3760F">
      <w:pPr>
        <w:pStyle w:val="ConsPlusNormal"/>
        <w:jc w:val="center"/>
      </w:pPr>
      <w:r>
        <w:t>договоров подключения (технологического присоединения)</w:t>
      </w:r>
    </w:p>
    <w:p w:rsidR="00000000" w:rsidRDefault="00F3760F">
      <w:pPr>
        <w:pStyle w:val="ConsPlusNormal"/>
        <w:jc w:val="center"/>
      </w:pPr>
      <w:r>
        <w:t>объектов к сетям инженерно-технического обеспечения,</w:t>
      </w:r>
    </w:p>
    <w:p w:rsidR="00000000" w:rsidRDefault="00F3760F">
      <w:pPr>
        <w:pStyle w:val="ConsPlusNormal"/>
        <w:jc w:val="center"/>
      </w:pPr>
      <w:r>
        <w:t>а также с архитектурно-строительным проектированием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40. Представление топогр</w:t>
      </w:r>
      <w:r>
        <w:t>афической карты земельного участка в масштабе 1:2000 (для квартальной застройки) с указанием всех наземных и подземных коммуникаций и сооружений.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41. Представление топографической карты земельного участка в масштабе 1:500 с указанием всех наземных и подзем</w:t>
      </w:r>
      <w:r>
        <w:t>ных коммуникаций и сооружений.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42. Представление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43. Представление технических условий на проектирование узла учета теплово</w:t>
      </w:r>
      <w:r>
        <w:t>й энергии.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44. Заключение договора о подключении (технологическом присоединении) к системе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45. Представление согласования проекта узла учета тепловой энергии.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46. Представление согласования специальных технических условий с Министерством Ро</w:t>
      </w:r>
      <w:r>
        <w:t>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47. Представление согласования отступления от условий подключения к системе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48. Представление согласования специальных техн</w:t>
      </w:r>
      <w:r>
        <w:t>ических условий для подготовки проектной документации.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49. Представление результатов инженерных изысканий.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50. Представление положительного заключения экспертизы результатов инженерных изысканий.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51. Представление положительного заключения экспертизы проектной документации.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52. Представление положительного заключения государственной экологической экспертизы проектной документации.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53. Представление положительного заключения о достоверности определе</w:t>
      </w:r>
      <w:r>
        <w:t>ния сметной стоимости объекта капитального строительства.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54. Представление заключения о том, что модификация проектной документации в отношении объекта капитального строительства с сетями инженерного обеспечения не снижает характеристики надежности и безо</w:t>
      </w:r>
      <w:r>
        <w:t>пасности такого объекта капитального строительства и не приводит к увеличению его сметной стоимости.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55. Представление заключения уполномоченного органа охраны объектов культурного наследия об отсутствии данных об объектах археологического наследия, включе</w:t>
      </w:r>
      <w:r>
        <w:t>нных в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</w:t>
      </w:r>
      <w:r>
        <w:t xml:space="preserve"> а также иных работ.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56. Представление заключения государственной историко-культурной экспертизы.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57. Внесение изменений в инвестиционную программу теплоснабжающей организации или теплосетевой организации.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58. Согласование внесения изменений в схему теплос</w:t>
      </w:r>
      <w:r>
        <w:t>набжения.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000000" w:rsidRDefault="00F3760F">
      <w:pPr>
        <w:pStyle w:val="ConsPlusNormal"/>
        <w:jc w:val="center"/>
      </w:pPr>
      <w:r>
        <w:t>строительства, реконструкции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59. Представление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</w:t>
      </w:r>
      <w:r>
        <w:t>ков и установления сервитута.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60. Представление решения о согласовании осуществления действий в охранных зонах объектов электросетевого хозяйства.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61. Представление решения о согласовании осуществления действий в охранных зонах объектов по производству эле</w:t>
      </w:r>
      <w:r>
        <w:t>ктрической энергии.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62. Представление разрешения на производство работ в охранной зоне магистрального трубопровода.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63. Представление разрешения на производство работ в охранной зоне газораспределительной сети.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64. Представление разрешения на производство </w:t>
      </w:r>
      <w:r>
        <w:t>работ в охранной зоне геодезического пункта.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65. Представление согласия на производство работ, связанных с вскрытием грунта в охранной зоне линии связи или линии радиофикации.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66. Представление разрешения на строительство.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67. Продление срока действия разр</w:t>
      </w:r>
      <w:r>
        <w:t>ешения на строительство.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68. Внесение изменений в разрешение на строительство.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69. Передача материалов для размещения в информационной системе обеспечения градостроительной деятельности.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70. Направление извещения о начале строительства.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71. Направление изв</w:t>
      </w:r>
      <w:r>
        <w:t>ещения о возникновении аварийной ситуации на объекте капитального строительства.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72. Направление извещения об обнаружении объекта, обладающего признаками объекта культурного наследия.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73. Направление извещения о сроках завершения работ, которые подлежат проверке.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74. Проведение проверок государственного строительного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75. Проведение проверок государственного экологического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76. Представление результатов экспертизы, обсле</w:t>
      </w:r>
      <w:r>
        <w:t>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77. Направление извещения об устранении нарушений.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78. Заключение договора теплоснабжения строящегос</w:t>
      </w:r>
      <w:r>
        <w:t>я (не введенного в эксплуатацию) объекта на период строительства.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79. Подписание акта комиссии о приемке теплоносителя для тепловых энергоустановок после пусконаладочных работ и комплексного опробования.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80. Подписание акта комиссии о вводе в эксплуатацию </w:t>
      </w:r>
      <w:r>
        <w:t>узла учета, установленного у потребителя, для ведения коммерческого учета тепловой энергии.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81. Представление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82. Подписа</w:t>
      </w:r>
      <w:r>
        <w:t>ние акта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83. Подписание акта о разграничении балансовой принадлежности тепловых сетей.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84. Подписание акта о разграничении </w:t>
      </w:r>
      <w:r>
        <w:t>эксплуатационной ответственности сторон в отношении тепловых сетей.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85. Подписание акта о подключении объекта капитального строительства к системе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86. Представление разрешения на осуществление подключения к системе теплоснабжения.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2"/>
      </w:pPr>
      <w:r>
        <w:t>5. Проце</w:t>
      </w:r>
      <w:r>
        <w:t>дуры, связанные с представлением</w:t>
      </w:r>
    </w:p>
    <w:p w:rsidR="00000000" w:rsidRDefault="00F3760F">
      <w:pPr>
        <w:pStyle w:val="ConsPlusNormal"/>
        <w:jc w:val="center"/>
      </w:pPr>
      <w:r>
        <w:t>разрешения на ввод объекта в эксплуатацию, государственной</w:t>
      </w:r>
    </w:p>
    <w:p w:rsidR="00000000" w:rsidRDefault="00F3760F">
      <w:pPr>
        <w:pStyle w:val="ConsPlusNormal"/>
        <w:jc w:val="center"/>
      </w:pPr>
      <w:r>
        <w:t>регистрацией прав на построенный объект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87. Представление технического плана объекта капитального строительства с инженерными сетями.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88. Представление заключения </w:t>
      </w:r>
      <w:r>
        <w:t>федерального государственного экологического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89. Представление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</w:t>
      </w:r>
      <w:r>
        <w:t>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90. Представление разрешения на ввод объекта в эксплуатацию.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91. Предъявление в случаях, установленных нормативным</w:t>
      </w:r>
      <w:r>
        <w:t>и правовыми актами,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</w:t>
      </w:r>
      <w:r>
        <w:t xml:space="preserve"> и государственный энергетический надзор.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92.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</w:t>
      </w:r>
      <w:r>
        <w:t>трено получение разрешения на ввод в эксплуатацию), выданное органом государственного энергетического надзора.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93. Заключение договора теплоснабжения.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94. Присвоение адреса объекту капитального строительства.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95. Государственный кадастровый учет объекта не</w:t>
      </w:r>
      <w:r>
        <w:t>движимости.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96. Государственная регистрация права собственности на тепловую сеть.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center"/>
        <w:outlineLvl w:val="1"/>
      </w:pPr>
      <w:bookmarkStart w:id="6" w:name="Par167"/>
      <w:bookmarkEnd w:id="6"/>
      <w:r>
        <w:t>II. Процедуры, предусмотренные</w:t>
      </w:r>
    </w:p>
    <w:p w:rsidR="00000000" w:rsidRDefault="00F3760F">
      <w:pPr>
        <w:pStyle w:val="ConsPlusNormal"/>
        <w:jc w:val="center"/>
      </w:pPr>
      <w:r>
        <w:t>нормативными правовыми актами субъектов Российской</w:t>
      </w:r>
    </w:p>
    <w:p w:rsidR="00000000" w:rsidRDefault="00F3760F">
      <w:pPr>
        <w:pStyle w:val="ConsPlusNormal"/>
        <w:jc w:val="center"/>
      </w:pPr>
      <w:r>
        <w:t>Федерации и (или) муниципальными правовыми актами</w:t>
      </w:r>
    </w:p>
    <w:p w:rsidR="00000000" w:rsidRDefault="00F3760F">
      <w:pPr>
        <w:pStyle w:val="ConsPlusNormal"/>
        <w:jc w:val="center"/>
      </w:pPr>
      <w:r>
        <w:t>представительных органов мест</w:t>
      </w:r>
      <w:r>
        <w:t>ного самоуправления</w:t>
      </w:r>
    </w:p>
    <w:p w:rsidR="00000000" w:rsidRDefault="00F3760F">
      <w:pPr>
        <w:pStyle w:val="ConsPlusNormal"/>
        <w:jc w:val="center"/>
      </w:pPr>
    </w:p>
    <w:p w:rsidR="00000000" w:rsidRDefault="00F3760F">
      <w:pPr>
        <w:pStyle w:val="ConsPlusNormal"/>
        <w:jc w:val="center"/>
        <w:outlineLvl w:val="2"/>
      </w:pPr>
      <w:r>
        <w:t>Процедуры, связанные с особенностями осуществления</w:t>
      </w:r>
    </w:p>
    <w:p w:rsidR="00000000" w:rsidRDefault="00F3760F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000000" w:rsidRDefault="00F3760F">
      <w:pPr>
        <w:pStyle w:val="ConsPlusNormal"/>
        <w:jc w:val="center"/>
      </w:pPr>
      <w:r>
        <w:t>Российской Федерации и муниципальных образований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 xml:space="preserve">97. Представление порубочного билета и (или) разрешения на пересадку деревьев </w:t>
      </w:r>
      <w:r>
        <w:t>и кустарников.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98. Представление разрешения на осуществление земляных работ.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99. Согласование схемы движения транспорта и пешеходов на период проведения работ на проезжей части.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100. Проведение контрольно-геодезической съемки и передача исполнительной доку</w:t>
      </w:r>
      <w:r>
        <w:t>ментации в уполномоченный орган государственной власти или орган местного самоуправления.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101. Представление заключения о соответствии проектной документации сводному плану подземных коммуникаций и сооружений.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102. Согласование проведения работ в техническ</w:t>
      </w:r>
      <w:r>
        <w:t>их и охранных зонах.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103. Представление разрешения на размещение объектов без предоставления земельных участков и установления сервитутов.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104. Представление акта приемки в эксплуатацию объекта, относящегося к объектам, размещение которых осуществляется бе</w:t>
      </w:r>
      <w:r>
        <w:t>з предоставления земельных участков и установления сервитутов.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right"/>
        <w:outlineLvl w:val="0"/>
      </w:pPr>
      <w:r>
        <w:t>Утверждены</w:t>
      </w:r>
    </w:p>
    <w:p w:rsidR="00000000" w:rsidRDefault="00F3760F">
      <w:pPr>
        <w:pStyle w:val="ConsPlusNormal"/>
        <w:jc w:val="right"/>
      </w:pPr>
      <w:r>
        <w:t>постановлением Правительства</w:t>
      </w:r>
    </w:p>
    <w:p w:rsidR="00000000" w:rsidRDefault="00F3760F">
      <w:pPr>
        <w:pStyle w:val="ConsPlusNormal"/>
        <w:jc w:val="right"/>
      </w:pPr>
      <w:r>
        <w:t>Российской Федерации</w:t>
      </w:r>
    </w:p>
    <w:p w:rsidR="00000000" w:rsidRDefault="00F3760F">
      <w:pPr>
        <w:pStyle w:val="ConsPlusNormal"/>
        <w:jc w:val="right"/>
      </w:pPr>
      <w:r>
        <w:t>от 17 апреля 2017 г. N 452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Title"/>
        <w:jc w:val="center"/>
      </w:pPr>
      <w:bookmarkStart w:id="7" w:name="Par194"/>
      <w:bookmarkEnd w:id="7"/>
      <w:r>
        <w:t>ПРАВИЛА</w:t>
      </w:r>
    </w:p>
    <w:p w:rsidR="00000000" w:rsidRDefault="00F3760F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000000" w:rsidRDefault="00F3760F">
      <w:pPr>
        <w:pStyle w:val="ConsPlusTitle"/>
        <w:jc w:val="center"/>
      </w:pPr>
      <w:r>
        <w:t>В СФЕРЕ СТРОИТЕЛЬСТВА СЕТЕЙ ТЕПЛОСНАБЖЕНИЯ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</w:t>
      </w:r>
      <w:r>
        <w:t>дур).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8" w:name="Par199"/>
      <w:bookmarkEnd w:id="8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</w:t>
      </w:r>
      <w:r>
        <w:t xml:space="preserve">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</w:t>
      </w:r>
      <w:r>
        <w:t>ельства и жилищно-коммунального хозяйства Российской Федерации.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9" w:name="Par200"/>
      <w:bookmarkEnd w:id="9"/>
      <w:r>
        <w:t xml:space="preserve">3. В случае подготовки проектов законов и (или) нормативных правовых актов субъектов Российской </w:t>
      </w:r>
      <w:r>
        <w:lastRenderedPageBreak/>
        <w:t>Федерации, предусматривающих изменение количества процедур в сфере строительства сет</w:t>
      </w:r>
      <w:r>
        <w:t xml:space="preserve">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</w:t>
      </w:r>
      <w:r>
        <w:t xml:space="preserve">хозяйства Российской Федерации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акта (проектов актов) субъектов Российской Федерации.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4. Министерство строительства и жилищно-коммун</w:t>
      </w:r>
      <w:r>
        <w:t xml:space="preserve">ального хозяйства Российской Федерации в месячный срок обеспечивает рассмотрение предложений, поступивших в соответствии с </w:t>
      </w:r>
      <w:hyperlink w:anchor="Par199" w:tooltip="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ень процедур и направляют указанные предложения в Министерство строительства и жилищно-коммунального хозяйства Российской Федерации.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200" w:tooltip="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сет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...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</w:t>
      </w:r>
      <w:r>
        <w:t xml:space="preserve">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ar42" w:tooltip="ИСЧЕРПЫВАЮЩИЙ ПЕРЕЧЕНЬ" w:history="1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 xml:space="preserve"> процедур и проект соответствующего нормативного правового акта Правительства Российской Федерации.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</w:t>
      </w:r>
      <w:r>
        <w:t xml:space="preserve">оличества процедур, указанных в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right"/>
        <w:outlineLvl w:val="0"/>
      </w:pPr>
      <w:r>
        <w:t>Утверждены</w:t>
      </w:r>
    </w:p>
    <w:p w:rsidR="00000000" w:rsidRDefault="00F3760F">
      <w:pPr>
        <w:pStyle w:val="ConsPlusNormal"/>
        <w:jc w:val="right"/>
      </w:pPr>
      <w:r>
        <w:t>постановлением Правительства</w:t>
      </w:r>
    </w:p>
    <w:p w:rsidR="00000000" w:rsidRDefault="00F3760F">
      <w:pPr>
        <w:pStyle w:val="ConsPlusNormal"/>
        <w:jc w:val="right"/>
      </w:pPr>
      <w:r>
        <w:t>Российской Федерации</w:t>
      </w:r>
    </w:p>
    <w:p w:rsidR="00000000" w:rsidRDefault="00F3760F">
      <w:pPr>
        <w:pStyle w:val="ConsPlusNormal"/>
        <w:jc w:val="right"/>
      </w:pPr>
      <w:r>
        <w:t>от 17 апреля 2017 г. N 452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Title"/>
        <w:jc w:val="center"/>
      </w:pPr>
      <w:bookmarkStart w:id="10" w:name="Par213"/>
      <w:bookmarkEnd w:id="10"/>
      <w:r>
        <w:t>ПРАВИЛА</w:t>
      </w:r>
    </w:p>
    <w:p w:rsidR="00000000" w:rsidRDefault="00F3760F">
      <w:pPr>
        <w:pStyle w:val="ConsPlusTitle"/>
        <w:jc w:val="center"/>
      </w:pPr>
      <w:r>
        <w:t>ВЕДЕНИЯ РЕЕСТРА ОПИСАНИЙ ПРОЦЕДУР, УКАЗАННЫХ</w:t>
      </w:r>
    </w:p>
    <w:p w:rsidR="00000000" w:rsidRDefault="00F3760F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000000" w:rsidRDefault="00F3760F">
      <w:pPr>
        <w:pStyle w:val="ConsPlusTitle"/>
        <w:jc w:val="center"/>
      </w:pPr>
      <w:r>
        <w:t>СЕТЕЙ ТЕПЛОСНАБЖЕНИЯ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ind w:firstLine="540"/>
        <w:jc w:val="both"/>
      </w:pPr>
      <w:r>
        <w:t>1. Настоящие Правила устанавливают порядок ведения реестра описан</w:t>
      </w:r>
      <w:r>
        <w:t xml:space="preserve">ий процедур, указанных в исчерпывающем </w:t>
      </w:r>
      <w:hyperlink w:anchor="Par42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сетей теплоснабжения, утвержденном постановлением Правительства Российской Федерации от 17 апреля 2017 г. N 452 "Об исчерпывающе</w:t>
      </w:r>
      <w:r>
        <w:t>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теплоснабжения" (далее соответственно - процеду</w:t>
      </w:r>
      <w:r>
        <w:t>ры, перечень процедур, реестр описаний процедур).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11" w:name="Par220"/>
      <w:bookmarkEnd w:id="11"/>
      <w:r>
        <w:t>3. Форма реестра описаний процедур устанавливается Министерст</w:t>
      </w:r>
      <w:r>
        <w:t>вом строительства и жилищно-коммунального хозяйства Российской Федерации.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12" w:name="Par221"/>
      <w:bookmarkEnd w:id="12"/>
      <w:r>
        <w:t>4. Реестр описаний процедур включает в себя следующие сведения: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а) наименование процедуры в соответствии с </w:t>
      </w:r>
      <w:hyperlink w:anchor="Par42" w:tooltip="ИСЧЕРПЫВАЮЩИЙ ПЕРЕЧЕНЬ" w:history="1">
        <w:r>
          <w:rPr>
            <w:color w:val="0000FF"/>
          </w:rPr>
          <w:t>перечнем</w:t>
        </w:r>
      </w:hyperlink>
      <w:r>
        <w:t xml:space="preserve"> проц</w:t>
      </w:r>
      <w:r>
        <w:t>едур;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</w:t>
      </w:r>
      <w:r>
        <w:t xml:space="preserve"> сфере строительства сетей теплоснабжения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 (или) муниц</w:t>
      </w:r>
      <w:r>
        <w:t xml:space="preserve">ипального правового акта, которыми установлена процедура в сфере строительства сетей теплоснабжения (для процедур, включенных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>в) наименование и реквизиты (с указанием</w:t>
      </w:r>
      <w:r>
        <w:t xml:space="preserve">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сетей т</w:t>
      </w:r>
      <w:r>
        <w:t xml:space="preserve">еплоснабжения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</w:t>
      </w:r>
      <w:r>
        <w:t xml:space="preserve">ми установлен порядок проведения процедуры в сфере строительства сетей теплоснабжения (для процедур, включенных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г) установленные федеральным законом, нормативным прав</w:t>
      </w:r>
      <w:r>
        <w:t xml:space="preserve">овым актом Правительства Российской Федерации и (или) нормативным правовым актом федерального органа исполнительной власти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</w:t>
      </w:r>
      <w:r>
        <w:t xml:space="preserve">роцедур) или нормативным правовым актом субъекта Российской Федерации и (или) муниципальным правовым актом (для процедур, включенных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случаи, при которых требуется про</w:t>
      </w:r>
      <w:r>
        <w:t>ведение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основания для отказа в принятии заявления и документов, необходимых для про</w:t>
      </w:r>
      <w:r>
        <w:t>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основания для приостановления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</w:t>
      </w:r>
      <w:r>
        <w:t>гам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срок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орган (организация), осуществляющий проведение процедуры.</w:t>
      </w:r>
    </w:p>
    <w:p w:rsidR="00000000" w:rsidRDefault="00F3760F">
      <w:pPr>
        <w:pStyle w:val="ConsPlusNormal"/>
        <w:spacing w:before="200"/>
        <w:ind w:firstLine="540"/>
        <w:jc w:val="both"/>
      </w:pPr>
      <w:bookmarkStart w:id="13" w:name="Par237"/>
      <w:bookmarkEnd w:id="13"/>
      <w:r>
        <w:t xml:space="preserve">5. Высшие исполнительные органы государственной власти субъектов </w:t>
      </w:r>
      <w:r>
        <w:t xml:space="preserve">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ar220" w:tooltip="3. Форма реестра описаний процедур устанавливается Министерством строительства и жилищно-коммунального хозяйства Российской Федерации.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ar221" w:tooltip="4. Реестр описаний процедур включает в себя следующие сведения: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не позднее 10 рабочих дней со дня внесения изменений в </w:t>
      </w:r>
      <w:hyperlink w:anchor="Par42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связи с принятием нормативного правового акта субъекта Российской Федерации или муниципального правового акта, предусматривающих изменение сведений, указанных в </w:t>
      </w:r>
      <w:hyperlink w:anchor="Par221" w:tooltip="4. Реестр описаний процедур включает в себя следующие сведения: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в отношении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</w:t>
      </w:r>
      <w:r>
        <w:t xml:space="preserve">ового акта федерального органа исполнительной власти, предусматривающих изменение сведений, указанных в </w:t>
      </w:r>
      <w:hyperlink w:anchor="Par221" w:tooltip="4. Реестр описаний процедур включает в себя следующие сведения: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lastRenderedPageBreak/>
        <w:t xml:space="preserve">в отношении процедур, включенных </w:t>
      </w:r>
      <w:r>
        <w:t xml:space="preserve">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</w:t>
      </w:r>
      <w:r>
        <w:t xml:space="preserve">ствии с </w:t>
      </w:r>
      <w:hyperlink w:anchor="Par237" w:tooltip="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пункте 3 настоящих Правил, сведения, предусмотренные пунктом 4 настоящих Правил, в отношении процедур, включенных в раздел II перечня процедур: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</w:t>
      </w:r>
      <w:r>
        <w:t>ищно-коммунального хозяйства Российской Федерации в информационно-телекоммуникационной сети "Интернет".</w:t>
      </w:r>
    </w:p>
    <w:p w:rsidR="00000000" w:rsidRDefault="00F3760F">
      <w:pPr>
        <w:pStyle w:val="ConsPlusNormal"/>
        <w:spacing w:before="200"/>
        <w:ind w:firstLine="540"/>
        <w:jc w:val="both"/>
      </w:pPr>
      <w:r>
        <w:t xml:space="preserve">Сведения, предусмотренные </w:t>
      </w:r>
      <w:hyperlink w:anchor="Par221" w:tooltip="4. Реестр описаний процедур включает в себя следующие сведения:" w:history="1">
        <w:r>
          <w:rPr>
            <w:color w:val="0000FF"/>
          </w:rPr>
          <w:t>пунктом 4</w:t>
        </w:r>
      </w:hyperlink>
      <w:r>
        <w:t xml:space="preserve"> настоящих Правил, в отно</w:t>
      </w:r>
      <w:r>
        <w:t xml:space="preserve">шении процедур, включенных в </w:t>
      </w:r>
      <w:hyperlink w:anchor="Par167" w:tooltip="II. Процедуры, предусмотренные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</w:t>
      </w:r>
      <w:r>
        <w:t>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</w:t>
      </w:r>
      <w:r>
        <w:t xml:space="preserve"> Российской Федерации изменений в реестр описаний процедур.</w:t>
      </w:r>
    </w:p>
    <w:p w:rsidR="00000000" w:rsidRDefault="00F3760F">
      <w:pPr>
        <w:pStyle w:val="ConsPlusNormal"/>
        <w:jc w:val="both"/>
      </w:pPr>
    </w:p>
    <w:p w:rsidR="00000000" w:rsidRDefault="00F3760F">
      <w:pPr>
        <w:pStyle w:val="ConsPlusNormal"/>
        <w:jc w:val="both"/>
      </w:pPr>
    </w:p>
    <w:p w:rsidR="00F3760F" w:rsidRDefault="00F3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760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0F" w:rsidRDefault="00F3760F">
      <w:pPr>
        <w:spacing w:after="0" w:line="240" w:lineRule="auto"/>
      </w:pPr>
      <w:r>
        <w:separator/>
      </w:r>
    </w:p>
  </w:endnote>
  <w:endnote w:type="continuationSeparator" w:id="0">
    <w:p w:rsidR="00F3760F" w:rsidRDefault="00F3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76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35344">
            <w:fldChar w:fldCharType="separate"/>
          </w:r>
          <w:r w:rsidR="004C0222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35344">
            <w:fldChar w:fldCharType="separate"/>
          </w:r>
          <w:r w:rsidR="004C0222"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F376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0F" w:rsidRDefault="00F3760F">
      <w:pPr>
        <w:spacing w:after="0" w:line="240" w:lineRule="auto"/>
      </w:pPr>
      <w:r>
        <w:separator/>
      </w:r>
    </w:p>
  </w:footnote>
  <w:footnote w:type="continuationSeparator" w:id="0">
    <w:p w:rsidR="00F3760F" w:rsidRDefault="00F3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17.04.2017 N 452</w:t>
          </w:r>
          <w:r>
            <w:rPr>
              <w:sz w:val="16"/>
              <w:szCs w:val="16"/>
            </w:rPr>
            <w:br/>
            <w:t>"Об исчерпывающем перечне процедур</w:t>
          </w:r>
          <w:r>
            <w:rPr>
              <w:sz w:val="16"/>
              <w:szCs w:val="16"/>
            </w:rPr>
            <w:t xml:space="preserve"> в сфере строительства сетей теплос...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3760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760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000000" w:rsidRDefault="00F376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76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4"/>
    <w:rsid w:val="00135344"/>
    <w:rsid w:val="004C0222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BF66B-87B8-4E29-BE82-5B762669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5F40F9F6E9707FFA6010CE8579911472A862B2B8CA4E2335B16F6DDC4CBE6E8C0ECDA12330805b4A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E5F40F9F6E9707FFA6010CE8579911472A87292581A4E2335B16F6DDC4CBE6E8C0ECDA12320005b4A6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4550</Words>
  <Characters>25941</Characters>
  <Application>Microsoft Office Word</Application>
  <DocSecurity>2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17.04.2017 N 452"Об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</vt:lpstr>
    </vt:vector>
  </TitlesOfParts>
  <Company>КонсультантПлюс Версия 4016.00.46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17.04.2017 N 452"Об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</dc:title>
  <dc:subject/>
  <dc:creator>Ивченко Алексей Викторович</dc:creator>
  <cp:keywords/>
  <dc:description/>
  <cp:lastModifiedBy>Ивченко Алексей Викторович</cp:lastModifiedBy>
  <cp:revision>2</cp:revision>
  <dcterms:created xsi:type="dcterms:W3CDTF">2024-08-14T13:54:00Z</dcterms:created>
  <dcterms:modified xsi:type="dcterms:W3CDTF">2024-08-14T13:54:00Z</dcterms:modified>
</cp:coreProperties>
</file>