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Внесены изменения в </w:t>
      </w:r>
      <w:r>
        <w:rPr>
          <w:b w:val="1"/>
          <w:sz w:val="28"/>
        </w:rPr>
        <w:t xml:space="preserve">Программу государственных гарантий бесплатного оказания населению Тульской области медицинской помощи.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Постановлением Правительства Тульской области от 26.03.2025 № 185 внесены изменения в </w:t>
      </w:r>
      <w:r>
        <w:rPr>
          <w:sz w:val="28"/>
        </w:rPr>
        <w:t xml:space="preserve">Постановление Правительства Тульской области от 28.12.2024 N 736"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В Постановление "О территориальной Программе государственных гарантий бесплатного оказания населению Тульской области медицинской помощи на 2025 год и на плановый период 2026 и 2027 годов" внесены изменения. Уточнено, что в рамках реализации базовой (территориальной)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базе санаторно-курортных организаций могут быть осуществлены второй и третий этапы медицинской реабилитации.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Определены организации, которые принимают решение о выдаче путевки на санаторно-курортное лечение в определенных случаях, в частности, решение о выдаче путевки на санаторно-курортное лечение принимается федеральной санаторно-курортной организацией в случае установления показаний к санаторно-курортному лечению по результатам оказания </w:t>
      </w:r>
      <w:r>
        <w:rPr>
          <w:sz w:val="28"/>
        </w:rPr>
        <w:t xml:space="preserve">гражданину специализированной, в том числе высокотехнологичной, медицинской помощи за 7 дней до выписки гражданина из медицинской организации, оказавшей специализированную или высокотехнологичную медицинскую помощь.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Уточнено, что граждане с тяжелыми </w:t>
      </w:r>
      <w:r>
        <w:rPr>
          <w:sz w:val="28"/>
        </w:rPr>
        <w:t>жизнеугрожающими</w:t>
      </w:r>
      <w:r>
        <w:rPr>
          <w:sz w:val="28"/>
        </w:rPr>
        <w:t xml:space="preserve"> и хроническими заболеваниями имеют право на назначение им незарегистрированных в Российской Федерации лекарственных препаратов для медицинского применения в порядке, устанавливаемом Министерством здравоохранения Российской Федерации. </w:t>
      </w: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Увеличены </w:t>
      </w:r>
      <w:r>
        <w:rPr>
          <w:sz w:val="28"/>
        </w:rPr>
        <w:t>подушевые</w:t>
      </w:r>
      <w:r>
        <w:rPr>
          <w:sz w:val="28"/>
        </w:rPr>
        <w:t xml:space="preserve"> нормативы финансирования, предусмотренные Программой, в частности, за счет бюджетных ассигнований бюджета Тульской области (в расчете на 1 жителя) на 2026 год увеличены с 7723,5 рублей до 8040,9 рублей. Изменена стоимость территориальной Программы государственных гарантий бесплатного оказания населению Тульской области медицинской помощи по источникам финансового обеспечения на 2025 год и на плановый период 2026 и 2027 годов, а также утвержденная стоимость территориальной программы государственных гарантий бесплатного оказания гражданам медицинской помощи по видам и условиям ее оказания за счет бюджетных ассигнований бюджета Тульской области на 2025 год. </w:t>
      </w: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Для отдельных категорий ветеранов, в частности, для ветеранов,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уволенных с военной службы (службы, работы) боевых действий, утвержден порядок организации зубного протезирования, который устанавливает методы диагностики, виды протезирования, виды материалов и методики изготовления зубных протезов, используемые при проведении зубопротезирования. </w:t>
      </w: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Скорректирован перечень медицинских организаций, участвующих в реализации Программы, перечень изделий медицинского назначения, лекарственных препаратов, специализированных продуктов лечебного питания, отпускаемых населению в соответствии с перечнем групп населения и категорий заболеваний, при амбулаторном лечении которых изделия медицинского назначения, лекарственные средства и специализированные продукты лечебного питания отпускаются по рецептам врачей бесплатно и с 50-процентной скидкой со свободных цен, а также перечень жизненно необходимых и важнейших лекарственных препаратов и медицинских изделий при оказании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условиях. </w:t>
      </w:r>
    </w:p>
    <w:p w14:paraId="09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A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B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C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D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 xml:space="preserve">Прокуратура Дубенского района </w:t>
      </w:r>
    </w:p>
    <w:p w14:paraId="0E000000">
      <w:pPr>
        <w:spacing w:after="0"/>
        <w:ind w:firstLine="709" w:left="0"/>
        <w:rPr>
          <w:sz w:val="28"/>
        </w:rPr>
      </w:pP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2025-06-23T06:38:02Z</dcterms:modified>
</cp:coreProperties>
</file>