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6A8" w:rsidRPr="00492237" w:rsidRDefault="002606A8" w:rsidP="00492237">
      <w:pPr>
        <w:jc w:val="center"/>
        <w:rPr>
          <w:b/>
          <w:sz w:val="28"/>
        </w:rPr>
      </w:pPr>
      <w:r w:rsidRPr="00492237">
        <w:rPr>
          <w:b/>
          <w:sz w:val="28"/>
        </w:rPr>
        <w:t xml:space="preserve">Ответственность за управление </w:t>
      </w:r>
      <w:proofErr w:type="spellStart"/>
      <w:r w:rsidRPr="00492237">
        <w:rPr>
          <w:b/>
          <w:sz w:val="28"/>
        </w:rPr>
        <w:t>питбайком</w:t>
      </w:r>
      <w:proofErr w:type="spellEnd"/>
      <w:r w:rsidRPr="00492237">
        <w:rPr>
          <w:b/>
          <w:sz w:val="28"/>
        </w:rPr>
        <w:t xml:space="preserve"> несовершеннолетними.</w:t>
      </w:r>
    </w:p>
    <w:p w:rsidR="00793AB3" w:rsidRPr="00492237" w:rsidRDefault="00793AB3" w:rsidP="00793AB3">
      <w:pPr>
        <w:ind w:firstLine="709"/>
        <w:jc w:val="both"/>
        <w:rPr>
          <w:sz w:val="28"/>
        </w:rPr>
      </w:pPr>
      <w:r w:rsidRPr="00492237">
        <w:rPr>
          <w:sz w:val="28"/>
        </w:rPr>
        <w:t>Участились случаи получения травм несовершеннолетними при эксплуатации «</w:t>
      </w:r>
      <w:proofErr w:type="spellStart"/>
      <w:r w:rsidRPr="00492237">
        <w:rPr>
          <w:sz w:val="28"/>
        </w:rPr>
        <w:t>Питбайков</w:t>
      </w:r>
      <w:proofErr w:type="spellEnd"/>
      <w:r w:rsidRPr="00492237">
        <w:rPr>
          <w:sz w:val="28"/>
        </w:rPr>
        <w:t>». Частая причина указанных происшествий связана с отсутствием необходимых навыков вождения, общих знаний правил дорожного движения у несовершеннолетних. Несоблюдение дорожных ограничений влечет за собой негативные последствия в том числе в виде получения травм и смертей несовершеннолетних.</w:t>
      </w:r>
    </w:p>
    <w:p w:rsidR="00793AB3" w:rsidRPr="00492237" w:rsidRDefault="00793AB3" w:rsidP="00793AB3">
      <w:pPr>
        <w:ind w:firstLine="709"/>
        <w:jc w:val="both"/>
        <w:rPr>
          <w:sz w:val="28"/>
        </w:rPr>
      </w:pPr>
      <w:r w:rsidRPr="00492237">
        <w:rPr>
          <w:sz w:val="28"/>
        </w:rPr>
        <w:t>Основным документов регламентирующим движение транспортных средств по дорогам общего пользования является Правила дорожного движения, утвержденные постановлением Правительства Российской Федерации от 23.10.1993 № 1090 (далее -Правила).</w:t>
      </w:r>
    </w:p>
    <w:p w:rsidR="00793AB3" w:rsidRPr="00492237" w:rsidRDefault="00793AB3" w:rsidP="00793AB3">
      <w:pPr>
        <w:ind w:firstLine="709"/>
        <w:jc w:val="both"/>
        <w:rPr>
          <w:sz w:val="28"/>
        </w:rPr>
      </w:pPr>
      <w:r w:rsidRPr="00492237">
        <w:rPr>
          <w:sz w:val="28"/>
        </w:rPr>
        <w:t>В соответствии с указанными Правилами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793AB3" w:rsidRPr="00492237" w:rsidRDefault="00793AB3" w:rsidP="00793AB3">
      <w:pPr>
        <w:ind w:firstLine="709"/>
        <w:jc w:val="both"/>
        <w:rPr>
          <w:sz w:val="28"/>
        </w:rPr>
      </w:pPr>
      <w:r w:rsidRPr="00492237">
        <w:rPr>
          <w:sz w:val="28"/>
        </w:rP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w:t>
      </w:r>
    </w:p>
    <w:p w:rsidR="00793AB3" w:rsidRPr="00492237" w:rsidRDefault="00793AB3" w:rsidP="00793AB3">
      <w:pPr>
        <w:ind w:firstLine="709"/>
        <w:jc w:val="both"/>
        <w:rPr>
          <w:sz w:val="28"/>
        </w:rPr>
      </w:pPr>
      <w:r w:rsidRPr="00492237">
        <w:rPr>
          <w:sz w:val="28"/>
        </w:rPr>
        <w:t xml:space="preserve">"Мопед"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proofErr w:type="spellStart"/>
      <w:r w:rsidRPr="00492237">
        <w:rPr>
          <w:sz w:val="28"/>
        </w:rPr>
        <w:t>квадрициклы</w:t>
      </w:r>
      <w:proofErr w:type="spellEnd"/>
      <w:r w:rsidRPr="00492237">
        <w:rPr>
          <w:sz w:val="28"/>
        </w:rPr>
        <w:t>, имеющие аналогичные технические характеристики.</w:t>
      </w:r>
    </w:p>
    <w:p w:rsidR="00793AB3" w:rsidRPr="00492237" w:rsidRDefault="00793AB3" w:rsidP="00793AB3">
      <w:pPr>
        <w:ind w:firstLine="709"/>
        <w:jc w:val="both"/>
        <w:rPr>
          <w:sz w:val="28"/>
        </w:rPr>
      </w:pPr>
      <w:r w:rsidRPr="00492237">
        <w:rPr>
          <w:sz w:val="28"/>
        </w:rPr>
        <w:t xml:space="preserve">"Мотоцикл"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w:t>
      </w:r>
      <w:proofErr w:type="spellStart"/>
      <w:r w:rsidRPr="00492237">
        <w:rPr>
          <w:sz w:val="28"/>
        </w:rPr>
        <w:t>трициклы</w:t>
      </w:r>
      <w:proofErr w:type="spellEnd"/>
      <w:r w:rsidRPr="00492237">
        <w:rPr>
          <w:sz w:val="28"/>
        </w:rPr>
        <w:t xml:space="preserve">, а также </w:t>
      </w:r>
      <w:proofErr w:type="spellStart"/>
      <w:r w:rsidRPr="00492237">
        <w:rPr>
          <w:sz w:val="28"/>
        </w:rPr>
        <w:t>квадрициклы</w:t>
      </w:r>
      <w:proofErr w:type="spellEnd"/>
      <w:r w:rsidRPr="00492237">
        <w:rPr>
          <w:sz w:val="28"/>
        </w:rPr>
        <w:t xml:space="preserve">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793AB3" w:rsidRPr="00492237" w:rsidRDefault="00793AB3" w:rsidP="00793AB3">
      <w:pPr>
        <w:ind w:firstLine="709"/>
        <w:jc w:val="both"/>
        <w:rPr>
          <w:sz w:val="28"/>
        </w:rPr>
      </w:pPr>
      <w:r w:rsidRPr="00492237">
        <w:rPr>
          <w:sz w:val="28"/>
        </w:rPr>
        <w:lastRenderedPageBreak/>
        <w:t>В соответствии с п. 1 ст. 25 Федерального закона</w:t>
      </w:r>
      <w:r w:rsidR="006A5038" w:rsidRPr="00492237">
        <w:rPr>
          <w:sz w:val="28"/>
        </w:rPr>
        <w:t xml:space="preserve"> от 10.12.1995</w:t>
      </w:r>
      <w:r w:rsidRPr="00492237">
        <w:rPr>
          <w:sz w:val="28"/>
        </w:rPr>
        <w:t> № 196-ФЗ «О безопасности дорожного движения», мотоциклы относятся к категории «А» (подкатегория «А1» - мотоциклы с рабочим объемом двигателя внутреннего сгорания, не превышающим 125 куб. см) и на управление такими транспортными средствами предоставляется специальное право.</w:t>
      </w:r>
    </w:p>
    <w:p w:rsidR="00793AB3" w:rsidRPr="00492237" w:rsidRDefault="00793AB3" w:rsidP="00793AB3">
      <w:pPr>
        <w:ind w:firstLine="709"/>
        <w:jc w:val="both"/>
        <w:rPr>
          <w:sz w:val="28"/>
        </w:rPr>
      </w:pPr>
      <w:r w:rsidRPr="00492237">
        <w:rPr>
          <w:sz w:val="28"/>
        </w:rPr>
        <w:t>То обстоятельство, что «</w:t>
      </w:r>
      <w:proofErr w:type="spellStart"/>
      <w:r w:rsidRPr="00492237">
        <w:rPr>
          <w:sz w:val="28"/>
        </w:rPr>
        <w:t>Питбайк</w:t>
      </w:r>
      <w:proofErr w:type="spellEnd"/>
      <w:r w:rsidRPr="00492237">
        <w:rPr>
          <w:sz w:val="28"/>
        </w:rPr>
        <w:t>» изготовителем заявлен как спортивный инвентарь, используется в основном для спорта и активного отдыха, не свидетельствует о том, что он предназначен исключительно для участия в спортивных соревнованиях, как другое механическое транспортное средство для передвижения по городу.</w:t>
      </w:r>
    </w:p>
    <w:p w:rsidR="00793AB3" w:rsidRPr="00492237" w:rsidRDefault="00793AB3" w:rsidP="00793AB3">
      <w:pPr>
        <w:ind w:firstLine="709"/>
        <w:jc w:val="both"/>
        <w:rPr>
          <w:sz w:val="28"/>
        </w:rPr>
      </w:pPr>
      <w:r w:rsidRPr="00492237">
        <w:rPr>
          <w:sz w:val="28"/>
        </w:rPr>
        <w:t>Ситуация осложняется, когда на дороги выезжают именно подростки.  Не имея навыков управления, нарушая правила дорожного движения, «горе» водители катаются на них по дорогам и тротуарам, подвергая опасности себя и окружающих.   </w:t>
      </w:r>
    </w:p>
    <w:p w:rsidR="00793AB3" w:rsidRPr="00492237" w:rsidRDefault="00793AB3" w:rsidP="00793AB3">
      <w:pPr>
        <w:ind w:firstLine="709"/>
        <w:jc w:val="both"/>
        <w:rPr>
          <w:sz w:val="28"/>
        </w:rPr>
      </w:pPr>
      <w:r w:rsidRPr="00492237">
        <w:rPr>
          <w:sz w:val="28"/>
        </w:rPr>
        <w:t xml:space="preserve">Начнем с того, что </w:t>
      </w:r>
      <w:proofErr w:type="spellStart"/>
      <w:r w:rsidRPr="00492237">
        <w:rPr>
          <w:sz w:val="28"/>
        </w:rPr>
        <w:t>питбайк</w:t>
      </w:r>
      <w:proofErr w:type="spellEnd"/>
      <w:r w:rsidRPr="00492237">
        <w:rPr>
          <w:sz w:val="28"/>
        </w:rPr>
        <w:t xml:space="preserve"> – это спортинвентарь, не предназначенный для использования на дорогах общего пользования. Кроссовый мотоцикл предназначен для скоростной езды на специально оборудованных треках. Передвигаться на нём своим ходом по автомобильным дорогам недопустимо. Транспортировка </w:t>
      </w:r>
      <w:proofErr w:type="spellStart"/>
      <w:r w:rsidRPr="00492237">
        <w:rPr>
          <w:sz w:val="28"/>
        </w:rPr>
        <w:t>питбайков</w:t>
      </w:r>
      <w:proofErr w:type="spellEnd"/>
      <w:r w:rsidRPr="00492237">
        <w:rPr>
          <w:sz w:val="28"/>
        </w:rPr>
        <w:t xml:space="preserve"> осуществляется на грузовых прицепах.   Обязательной регистрации в Госавтоинспекции он не подлежит.</w:t>
      </w:r>
    </w:p>
    <w:p w:rsidR="00793AB3" w:rsidRPr="00492237" w:rsidRDefault="00793AB3" w:rsidP="00793AB3">
      <w:pPr>
        <w:ind w:firstLine="709"/>
        <w:jc w:val="both"/>
        <w:rPr>
          <w:sz w:val="28"/>
        </w:rPr>
      </w:pPr>
      <w:r w:rsidRPr="00492237">
        <w:rPr>
          <w:sz w:val="28"/>
        </w:rPr>
        <w:t xml:space="preserve">Для использования </w:t>
      </w:r>
      <w:proofErr w:type="spellStart"/>
      <w:r w:rsidRPr="00492237">
        <w:rPr>
          <w:sz w:val="28"/>
        </w:rPr>
        <w:t>питбайков</w:t>
      </w:r>
      <w:proofErr w:type="spellEnd"/>
      <w:r w:rsidRPr="00492237">
        <w:rPr>
          <w:sz w:val="28"/>
        </w:rPr>
        <w:t xml:space="preserve"> на мотодромах и закрытых площадках водительское удостоверение не требуется. Однако, если водитель </w:t>
      </w:r>
      <w:proofErr w:type="spellStart"/>
      <w:r w:rsidRPr="00492237">
        <w:rPr>
          <w:sz w:val="28"/>
        </w:rPr>
        <w:t>питбайка</w:t>
      </w:r>
      <w:proofErr w:type="spellEnd"/>
      <w:r w:rsidRPr="00492237">
        <w:rPr>
          <w:sz w:val="28"/>
        </w:rPr>
        <w:t xml:space="preserve"> будет остановлен сотрудниками Госавтоинспекции на дороге, то его действия будут рассматриваться с точки зрения нарушений ПДД.</w:t>
      </w:r>
    </w:p>
    <w:p w:rsidR="00793AB3" w:rsidRPr="00492237" w:rsidRDefault="00793AB3" w:rsidP="00793AB3">
      <w:pPr>
        <w:ind w:firstLine="709"/>
        <w:jc w:val="both"/>
        <w:rPr>
          <w:sz w:val="28"/>
        </w:rPr>
      </w:pPr>
      <w:r w:rsidRPr="00492237">
        <w:rPr>
          <w:sz w:val="28"/>
        </w:rPr>
        <w:t>Транспортное средство может быть помещено на специализированную стоянку, а водитель, не имеющий права управления транспортным средством привлечен к административной ответственности на общих основаниях.</w:t>
      </w:r>
    </w:p>
    <w:p w:rsidR="00793AB3" w:rsidRPr="00492237" w:rsidRDefault="00793AB3" w:rsidP="00793AB3">
      <w:pPr>
        <w:ind w:firstLine="709"/>
        <w:jc w:val="both"/>
        <w:rPr>
          <w:sz w:val="28"/>
        </w:rPr>
      </w:pPr>
      <w:r w:rsidRPr="00492237">
        <w:rPr>
          <w:sz w:val="28"/>
        </w:rPr>
        <w:t xml:space="preserve">Скутер, мопед, </w:t>
      </w:r>
      <w:proofErr w:type="spellStart"/>
      <w:r w:rsidRPr="00492237">
        <w:rPr>
          <w:sz w:val="28"/>
        </w:rPr>
        <w:t>питбайк</w:t>
      </w:r>
      <w:proofErr w:type="spellEnd"/>
      <w:r w:rsidRPr="00492237">
        <w:rPr>
          <w:sz w:val="28"/>
        </w:rPr>
        <w:t>, мотоцикл, квадроцикл относятся к источникам повышенной опасности для окружающих, поэтому право на управление ими предоставляется лицам, отвечающим определенным требованиям. Для того чтобы получить водительское удостоверение определенной категории, требуется сдать экзамен.</w:t>
      </w:r>
    </w:p>
    <w:p w:rsidR="00793AB3" w:rsidRPr="00492237" w:rsidRDefault="00793AB3" w:rsidP="00793AB3">
      <w:pPr>
        <w:ind w:firstLine="709"/>
        <w:jc w:val="both"/>
        <w:rPr>
          <w:sz w:val="28"/>
        </w:rPr>
      </w:pPr>
      <w:r w:rsidRPr="00492237">
        <w:rPr>
          <w:sz w:val="28"/>
        </w:rPr>
        <w:t xml:space="preserve">За управление несовершеннолетним водителем (по достижению им возраста 16 лет) мопедом, мотоциклом, </w:t>
      </w:r>
      <w:proofErr w:type="spellStart"/>
      <w:r w:rsidRPr="00492237">
        <w:rPr>
          <w:sz w:val="28"/>
        </w:rPr>
        <w:t>питбайком</w:t>
      </w:r>
      <w:proofErr w:type="spellEnd"/>
      <w:r w:rsidRPr="00492237">
        <w:rPr>
          <w:sz w:val="28"/>
        </w:rPr>
        <w:t xml:space="preserve">, квадроциклом и автомобилем, не имея права управления, предусмотрена административная ответственность в виде штрафа в размере от 5 до 15 тысяч рублей, в соответствии с ч.1 ст.12.7 КоАП РФ, материалы передаются на комиссию по </w:t>
      </w:r>
      <w:r w:rsidRPr="00492237">
        <w:rPr>
          <w:sz w:val="28"/>
        </w:rPr>
        <w:lastRenderedPageBreak/>
        <w:t>делам несовершеннолетних для принятия законного решения в отношении родителей и подростка.</w:t>
      </w:r>
    </w:p>
    <w:p w:rsidR="00793AB3" w:rsidRPr="00492237" w:rsidRDefault="00793AB3" w:rsidP="00793AB3">
      <w:pPr>
        <w:ind w:firstLine="709"/>
        <w:jc w:val="both"/>
        <w:rPr>
          <w:sz w:val="28"/>
        </w:rPr>
      </w:pPr>
      <w:r w:rsidRPr="00492237">
        <w:rPr>
          <w:sz w:val="28"/>
        </w:rPr>
        <w:t>Если же несовершеннолетний — младше 16 лет, то ответственность за него несут законные представители, которые могут быть привлечены к административной ответственности по ст.5.35 КоАП РФ, при этом ТС в этом случае также задерживается, материалы передаются так же на комиссию по делам несовершеннолетних для принятия законного решения в отношении родителей и подростка.</w:t>
      </w:r>
    </w:p>
    <w:p w:rsidR="00793AB3" w:rsidRPr="00492237" w:rsidRDefault="00793AB3" w:rsidP="00793AB3">
      <w:pPr>
        <w:ind w:firstLine="709"/>
        <w:jc w:val="both"/>
        <w:rPr>
          <w:sz w:val="28"/>
        </w:rPr>
      </w:pPr>
      <w:r w:rsidRPr="00492237">
        <w:rPr>
          <w:sz w:val="28"/>
        </w:rPr>
        <w:t>И в том и в другом случае родители, как собственники транспортного средства, потому что несовершеннолетний не может являться собственником, будут так же привлечены к административной ответственности по статья 12.7 ч.3 КоАП РФ «Передача управления ТС лицу, лишенному или не имеющему прав». Наказание: административный штраф в размере 30 тысяч рублей.</w:t>
      </w:r>
    </w:p>
    <w:p w:rsidR="00EB5959" w:rsidRDefault="00EB5959" w:rsidP="00793AB3">
      <w:pPr>
        <w:ind w:firstLine="709"/>
        <w:jc w:val="both"/>
        <w:rPr>
          <w:sz w:val="28"/>
        </w:rPr>
      </w:pPr>
    </w:p>
    <w:p w:rsidR="0049005C" w:rsidRDefault="0049005C" w:rsidP="00793AB3">
      <w:pPr>
        <w:ind w:firstLine="709"/>
        <w:jc w:val="both"/>
        <w:rPr>
          <w:sz w:val="28"/>
        </w:rPr>
      </w:pPr>
    </w:p>
    <w:p w:rsidR="0049005C" w:rsidRPr="00492237" w:rsidRDefault="0049005C" w:rsidP="0049005C">
      <w:pPr>
        <w:jc w:val="both"/>
        <w:rPr>
          <w:sz w:val="28"/>
        </w:rPr>
      </w:pPr>
      <w:r>
        <w:rPr>
          <w:sz w:val="28"/>
        </w:rPr>
        <w:t>Прок</w:t>
      </w:r>
      <w:bookmarkStart w:id="0" w:name="_GoBack"/>
      <w:bookmarkEnd w:id="0"/>
      <w:r>
        <w:rPr>
          <w:sz w:val="28"/>
        </w:rPr>
        <w:t>уратура Дубенского района</w:t>
      </w:r>
    </w:p>
    <w:sectPr w:rsidR="0049005C" w:rsidRPr="00492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06CF1"/>
    <w:multiLevelType w:val="multilevel"/>
    <w:tmpl w:val="4E96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600005"/>
    <w:multiLevelType w:val="multilevel"/>
    <w:tmpl w:val="E87E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73E"/>
    <w:rsid w:val="001F3507"/>
    <w:rsid w:val="002606A8"/>
    <w:rsid w:val="002A305B"/>
    <w:rsid w:val="0040773E"/>
    <w:rsid w:val="0049005C"/>
    <w:rsid w:val="00492237"/>
    <w:rsid w:val="00604079"/>
    <w:rsid w:val="006A5038"/>
    <w:rsid w:val="00793AB3"/>
    <w:rsid w:val="00A67ECB"/>
    <w:rsid w:val="00EB5959"/>
    <w:rsid w:val="00F16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2F9C"/>
  <w15:chartTrackingRefBased/>
  <w15:docId w15:val="{17E9ECA0-207E-4ECE-8E7C-ABF498D0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7ECB"/>
    <w:rPr>
      <w:rFonts w:ascii="Times New Roman" w:hAnsi="Times New Roman"/>
      <w:sz w:val="24"/>
    </w:rPr>
  </w:style>
  <w:style w:type="paragraph" w:styleId="1">
    <w:name w:val="heading 1"/>
    <w:basedOn w:val="a"/>
    <w:next w:val="a"/>
    <w:link w:val="10"/>
    <w:uiPriority w:val="9"/>
    <w:qFormat/>
    <w:rsid w:val="00F16331"/>
    <w:pPr>
      <w:keepNext/>
      <w:keepLines/>
      <w:spacing w:before="240" w:after="0"/>
      <w:outlineLvl w:val="0"/>
    </w:pPr>
    <w:rPr>
      <w:rFonts w:eastAsiaTheme="majorEastAsia" w:cstheme="majorBidi"/>
      <w:b/>
      <w:color w:val="FF0000"/>
      <w:sz w:val="52"/>
      <w:szCs w:val="32"/>
    </w:rPr>
  </w:style>
  <w:style w:type="paragraph" w:styleId="2">
    <w:name w:val="heading 2"/>
    <w:basedOn w:val="a"/>
    <w:next w:val="a"/>
    <w:link w:val="20"/>
    <w:uiPriority w:val="9"/>
    <w:unhideWhenUsed/>
    <w:qFormat/>
    <w:rsid w:val="00F16331"/>
    <w:pPr>
      <w:keepNext/>
      <w:keepLines/>
      <w:spacing w:before="40" w:after="0"/>
      <w:outlineLvl w:val="1"/>
    </w:pPr>
    <w:rPr>
      <w:rFonts w:eastAsiaTheme="majorEastAsia" w:cstheme="majorBidi"/>
      <w:b/>
      <w:color w:val="009242"/>
      <w:sz w:val="36"/>
      <w:szCs w:val="26"/>
    </w:rPr>
  </w:style>
  <w:style w:type="paragraph" w:styleId="3">
    <w:name w:val="heading 3"/>
    <w:basedOn w:val="a"/>
    <w:next w:val="a"/>
    <w:link w:val="30"/>
    <w:uiPriority w:val="9"/>
    <w:unhideWhenUsed/>
    <w:qFormat/>
    <w:rsid w:val="00604079"/>
    <w:pPr>
      <w:keepNext/>
      <w:keepLines/>
      <w:spacing w:before="40" w:after="0"/>
      <w:jc w:val="center"/>
      <w:outlineLvl w:val="2"/>
    </w:pPr>
    <w:rPr>
      <w:rFonts w:asciiTheme="minorHAnsi" w:eastAsiaTheme="majorEastAsia" w:hAnsiTheme="minorHAnsi" w:cstheme="majorBidi"/>
      <w:b/>
      <w:color w:val="9148C8"/>
      <w:sz w:val="52"/>
      <w:szCs w:val="24"/>
    </w:rPr>
  </w:style>
  <w:style w:type="paragraph" w:styleId="4">
    <w:name w:val="heading 4"/>
    <w:basedOn w:val="a"/>
    <w:next w:val="a"/>
    <w:link w:val="40"/>
    <w:uiPriority w:val="9"/>
    <w:unhideWhenUsed/>
    <w:qFormat/>
    <w:rsid w:val="00604079"/>
    <w:pPr>
      <w:keepNext/>
      <w:keepLines/>
      <w:spacing w:before="40" w:after="0"/>
      <w:outlineLvl w:val="3"/>
    </w:pPr>
    <w:rPr>
      <w:rFonts w:asciiTheme="minorHAnsi" w:eastAsiaTheme="majorEastAsia" w:hAnsiTheme="minorHAnsi" w:cstheme="majorBidi"/>
      <w:b/>
      <w:iCs/>
      <w:color w:val="F9337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331"/>
    <w:rPr>
      <w:rFonts w:eastAsiaTheme="majorEastAsia" w:cstheme="majorBidi"/>
      <w:b/>
      <w:color w:val="FF0000"/>
      <w:sz w:val="52"/>
      <w:szCs w:val="32"/>
    </w:rPr>
  </w:style>
  <w:style w:type="character" w:customStyle="1" w:styleId="20">
    <w:name w:val="Заголовок 2 Знак"/>
    <w:basedOn w:val="a0"/>
    <w:link w:val="2"/>
    <w:uiPriority w:val="9"/>
    <w:rsid w:val="00F16331"/>
    <w:rPr>
      <w:rFonts w:eastAsiaTheme="majorEastAsia" w:cstheme="majorBidi"/>
      <w:b/>
      <w:color w:val="009242"/>
      <w:sz w:val="36"/>
      <w:szCs w:val="26"/>
    </w:rPr>
  </w:style>
  <w:style w:type="character" w:customStyle="1" w:styleId="30">
    <w:name w:val="Заголовок 3 Знак"/>
    <w:basedOn w:val="a0"/>
    <w:link w:val="3"/>
    <w:uiPriority w:val="9"/>
    <w:rsid w:val="00604079"/>
    <w:rPr>
      <w:rFonts w:eastAsiaTheme="majorEastAsia" w:cstheme="majorBidi"/>
      <w:b/>
      <w:color w:val="9148C8"/>
      <w:sz w:val="52"/>
      <w:szCs w:val="24"/>
    </w:rPr>
  </w:style>
  <w:style w:type="character" w:customStyle="1" w:styleId="40">
    <w:name w:val="Заголовок 4 Знак"/>
    <w:basedOn w:val="a0"/>
    <w:link w:val="4"/>
    <w:uiPriority w:val="9"/>
    <w:rsid w:val="00604079"/>
    <w:rPr>
      <w:rFonts w:eastAsiaTheme="majorEastAsia" w:cstheme="majorBidi"/>
      <w:b/>
      <w:iCs/>
      <w:color w:val="F93370"/>
      <w:sz w:val="40"/>
    </w:rPr>
  </w:style>
  <w:style w:type="character" w:styleId="a3">
    <w:name w:val="Hyperlink"/>
    <w:basedOn w:val="a0"/>
    <w:uiPriority w:val="99"/>
    <w:unhideWhenUsed/>
    <w:rsid w:val="00793A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831372">
      <w:bodyDiv w:val="1"/>
      <w:marLeft w:val="0"/>
      <w:marRight w:val="0"/>
      <w:marTop w:val="0"/>
      <w:marBottom w:val="0"/>
      <w:divBdr>
        <w:top w:val="none" w:sz="0" w:space="0" w:color="auto"/>
        <w:left w:val="none" w:sz="0" w:space="0" w:color="auto"/>
        <w:bottom w:val="none" w:sz="0" w:space="0" w:color="auto"/>
        <w:right w:val="none" w:sz="0" w:space="0" w:color="auto"/>
      </w:divBdr>
    </w:div>
    <w:div w:id="106522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825</Words>
  <Characters>4709</Characters>
  <Application>Microsoft Office Word</Application>
  <DocSecurity>0</DocSecurity>
  <Lines>39</Lines>
  <Paragraphs>11</Paragraphs>
  <ScaleCrop>false</ScaleCrop>
  <Company>SPecialiST RePack</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Бабина Светлана Викторовна</cp:lastModifiedBy>
  <cp:revision>10</cp:revision>
  <dcterms:created xsi:type="dcterms:W3CDTF">2025-05-06T15:41:00Z</dcterms:created>
  <dcterms:modified xsi:type="dcterms:W3CDTF">2025-06-12T11:52:00Z</dcterms:modified>
</cp:coreProperties>
</file>