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24" w:rsidRPr="00067C24" w:rsidRDefault="00067C24" w:rsidP="00067C24">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067C24">
        <w:rPr>
          <w:rFonts w:ascii="Verdana" w:eastAsia="Times New Roman" w:hAnsi="Verdana" w:cs="Times New Roman"/>
          <w:b/>
          <w:bCs/>
          <w:color w:val="3D3D3D"/>
          <w:kern w:val="36"/>
          <w:sz w:val="34"/>
          <w:szCs w:val="34"/>
          <w:lang w:eastAsia="ru-RU"/>
        </w:rPr>
        <w:t>В целях реализации прав застрахованных лиц при формировании накопительной части трудовой пенсии</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2011 году 38 800 застрахованных лиц распорядились своими пенсионными накоплениями, что на 2245 заявлений превышает показатели 2010 года. В целях реализации прав застрахованных лиц при формировании накопительной части трудовой пенсии в кампанию 2011 года Отделением по Тульской области принято:</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- 31 782 (81,91 % от общего числа заявлений) заявления о переходе из Пенсионного фонда РФ (ПФР) в негосударственный пенсионный фонд (НПФ);</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- 5 326 (13,73 %) заявлений о переходе из НПФ в НПФ;</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- 1 615 (4,16 %) заявлений о переходе из НПФ в ПФР;</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- 77 (0,2 %) заявлений о выборе инвестиционного портфеля (ИП) или управляющей компании (УК).</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Основная часть работы по приему заявлений застрахованных лиц о переходе из ПФР в НПФ и о переходе из НПФ в НПФ приходилась на органы (организации), заключившие с ПФР соглашения о взаимном удостоверении подписей. В 2011 году действовало 7 соглашений о взаимном удостоверении подписей, в том числе 4 соглашения с негосударственными пенсионными фондами и 3 – с кредитными организациями.</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Негосударственные пенсионные фонды в кампанию 2011 года направили в Отделение ПФР по Тульской области 434 уведомления о заключении 34 858 договоров об обязательном пенсионном страховании.</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xml:space="preserve">Основная доля представленных в Отделение договоров приходится на </w:t>
      </w:r>
      <w:proofErr w:type="gramStart"/>
      <w:r w:rsidRPr="00067C24">
        <w:rPr>
          <w:rFonts w:ascii="Verdana" w:eastAsia="Times New Roman" w:hAnsi="Verdana" w:cs="Times New Roman"/>
          <w:b/>
          <w:bCs/>
          <w:color w:val="052635"/>
          <w:sz w:val="17"/>
          <w:szCs w:val="17"/>
          <w:lang w:eastAsia="ru-RU"/>
        </w:rPr>
        <w:t>следующие</w:t>
      </w:r>
      <w:proofErr w:type="gramEnd"/>
      <w:r w:rsidRPr="00067C24">
        <w:rPr>
          <w:rFonts w:ascii="Verdana" w:eastAsia="Times New Roman" w:hAnsi="Verdana" w:cs="Times New Roman"/>
          <w:b/>
          <w:bCs/>
          <w:color w:val="052635"/>
          <w:sz w:val="17"/>
          <w:szCs w:val="17"/>
          <w:lang w:eastAsia="ru-RU"/>
        </w:rPr>
        <w:t xml:space="preserve"> НПФ: «Лукойл-Гарант» - 10 382 (29,78 % от общего числа договоров), НПФ электроэнергетики – 7 918 (22,72 %), НПФ Сбербанка - 7 740 (22,2 %), «РГС» - 5 556 (15,94 %).</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Справочно: документы застрахованных лиц кампании 2011 года, связанные с формированием накопительной части трудовой пенсии, подлежат рассмотрению Пенсионным фондом Российской Федерации в срок до 1 марта 2012 года.</w:t>
      </w:r>
    </w:p>
    <w:p w:rsidR="00067C24" w:rsidRPr="00067C24" w:rsidRDefault="00067C24" w:rsidP="00067C24">
      <w:pPr>
        <w:shd w:val="clear" w:color="auto" w:fill="FFFFFF"/>
        <w:spacing w:after="0"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Ф��</w:t>
      </w:r>
      <w:r w:rsidRPr="00067C24">
        <w:rPr>
          <w:rFonts w:ascii="Verdana" w:eastAsia="Times New Roman" w:hAnsi="Verdana" w:cs="Times New Roman"/>
          <w:b/>
          <w:bCs/>
          <w:color w:val="052635"/>
          <w:sz w:val="17"/>
          <w:szCs w:val="17"/>
          <w:lang w:eastAsia="ru-RU"/>
        </w:rPr>
        <w:t/>
      </w:r>
      <w:r w:rsidRPr="00067C24">
        <w:rPr>
          <w:rFonts w:ascii="Verdana" w:eastAsia="Times New Roman" w:hAnsi="Verdana" w:cs="Times New Roman"/>
          <w:b/>
          <w:bCs/>
          <w:color w:val="052635"/>
          <w:sz w:val="17"/>
          <w:szCs w:val="17"/>
          <w:lang w:eastAsia="ru-RU"/>
        </w:rPr>
        <w:t/>
      </w:r>
      <w:proofErr w:type="gramStart"/>
      <w:r w:rsidRPr="00067C24">
        <w:rPr>
          <w:rFonts w:ascii="Verdana" w:eastAsia="Times New Roman" w:hAnsi="Verdana" w:cs="Times New Roman"/>
          <w:b/>
          <w:bCs/>
          <w:color w:val="052635"/>
          <w:sz w:val="17"/>
          <w:szCs w:val="17"/>
          <w:lang w:eastAsia="ru-RU"/>
        </w:rPr>
        <w:t xml:space="preserve"> :</w:t>
      </w:r>
      <w:proofErr w:type="gramEnd"/>
      <w:r w:rsidRPr="00067C24">
        <w:rPr>
          <w:rFonts w:ascii="Verdana" w:eastAsia="Times New Roman" w:hAnsi="Verdana" w:cs="Times New Roman"/>
          <w:b/>
          <w:bCs/>
          <w:color w:val="052635"/>
          <w:sz w:val="17"/>
          <w:szCs w:val="17"/>
          <w:lang w:eastAsia="ru-RU"/>
        </w:rPr>
        <w:t>&gt;</w:t>
      </w:r>
      <w:r w:rsidRPr="00067C24">
        <w:rPr>
          <w:rFonts w:ascii="Verdana" w:eastAsia="Times New Roman" w:hAnsi="Verdana" w:cs="Times New Roman"/>
          <w:b/>
          <w:bCs/>
          <w:color w:val="052635"/>
          <w:sz w:val="17"/>
          <w:szCs w:val="17"/>
          <w:lang w:eastAsia="ru-RU"/>
        </w:rPr>
      </w:r>
      <w:r w:rsidRPr="00067C24">
        <w:rPr>
          <w:rFonts w:ascii="Verdana" w:eastAsia="Times New Roman" w:hAnsi="Verdana" w:cs="Times New Roman"/>
          <w:b/>
          <w:bCs/>
          <w:color w:val="052635"/>
          <w:sz w:val="17"/>
          <w:szCs w:val="17"/>
          <w:lang w:eastAsia="ru-RU"/>
        </w:rPr>
        <w:t/>
      </w:r>
      <w:r w:rsidRPr="00067C24">
        <w:rPr>
          <w:rFonts w:ascii="Verdana" w:eastAsia="Times New Roman" w:hAnsi="Verdana" w:cs="Times New Roman"/>
          <w:b/>
          <w:bCs/>
          <w:color w:val="052635"/>
          <w:sz w:val="17"/>
          <w:szCs w:val="17"/>
          <w:lang w:eastAsia="ru-RU"/>
        </w:rPr>
        <w:t>L</w:t>
      </w:r>
      <w:r w:rsidRPr="00067C24">
        <w:rPr>
          <w:rFonts w:ascii="Verdana" w:eastAsia="Times New Roman" w:hAnsi="Verdana" w:cs="Times New Roman"/>
          <w:b/>
          <w:bCs/>
          <w:color w:val="052635"/>
          <w:sz w:val="17"/>
          <w:szCs w:val="17"/>
          <w:lang w:eastAsia="ru-RU"/>
        </w:rPr>
        <w:t>�l�</w:t>
      </w:r>
      <w:r w:rsidRPr="00067C24">
        <w:rPr>
          <w:rFonts w:ascii="Verdana" w:eastAsia="Times New Roman" w:hAnsi="Verdana" w:cs="Times New Roman"/>
          <w:b/>
          <w:bCs/>
          <w:color w:val="052635"/>
          <w:sz w:val="17"/>
          <w:szCs w:val="17"/>
          <w:lang w:eastAsia="ru-RU"/>
        </w:rPr>
        <w:t>pan&gt;</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Продолжая тему страховых взносов, глава ПФР Антон Дроздов заявил, что выполнены планы по собираемости и в федеральный и территориальные фонды обязательного медицинского страхования, которые администрирует Пенсионный фонд России. Так, в ФФОМС поступило 326,6 млрд. рублей (3,8% выше плана), в ТФОМС – 220,7 млрд. рублей (9,9% выше плана).</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xml:space="preserve">По словам Антона Дроздова, столь высоких результатов удалось достичь благодаря повышению эффективности взаимодействия с работодателями, в частности, совершенствованию электронного документооборота с плательщиками. </w:t>
      </w:r>
      <w:proofErr w:type="gramStart"/>
      <w:r w:rsidRPr="00067C24">
        <w:rPr>
          <w:rFonts w:ascii="Verdana" w:eastAsia="Times New Roman" w:hAnsi="Verdana" w:cs="Times New Roman"/>
          <w:b/>
          <w:bCs/>
          <w:color w:val="052635"/>
          <w:sz w:val="17"/>
          <w:szCs w:val="17"/>
          <w:lang w:eastAsia="ru-RU"/>
        </w:rPr>
        <w:t>Объем индивидуальных сведений, которые работодатели представляют в электронном виде с электронно-цифровой подписью, вырос с 2002 по 2012 год с 11,2% до 88,2%, а в части отчетности по страховым взносам по результатам отчетной кампании за 9 месяцев 2011 года – более 60%. Также стоит отметить, что задолженность по страховым взносам на обязательное пенсионное страхование на конец года составила всего 1,8%.</w:t>
      </w:r>
      <w:proofErr w:type="gramEnd"/>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xml:space="preserve">Среди приоритетных задач на 2012 год по администрированию страховых взносов Антон Дроздов назвал оптимизацию организационных и технологических процедур приема и обработки отчетности, совершенствование уровня технологических условий для </w:t>
      </w:r>
      <w:r w:rsidRPr="00067C24">
        <w:rPr>
          <w:rFonts w:ascii="Verdana" w:eastAsia="Times New Roman" w:hAnsi="Verdana" w:cs="Times New Roman"/>
          <w:b/>
          <w:bCs/>
          <w:color w:val="052635"/>
          <w:sz w:val="17"/>
          <w:szCs w:val="17"/>
          <w:lang w:eastAsia="ru-RU"/>
        </w:rPr>
        <w:lastRenderedPageBreak/>
        <w:t>плательщиков для подготовки, проверки и представления отчетности, а также создание необходимых сервисов для межведомственного взаимодействия в электронном виде.</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части выплаты пенсий в 2011 году Пенсионный фонд России выполнил все поставленные перед ним задачи по повышению уровня пенсионного обеспечения россиян и своевременности выплаты пенсий и пособий. Объем расходов на пенсионные и социальные выплаты в период с 2009 по 2012 год вырос более чем в 1,6 раза – с 2,94 до 4,6 трлн. рублей, а в 2012 году он достигнет 5,13 трлн. рублей. На территории всей Российской Федерации пенсии и пособии выплачивались своевременно и в полном объеме.</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2011 году новые пенсии были назначены 2,8 млн. граждан. В течение года пенсии повышались два раза. 1 февраля 2011 года трудовые пенсии 36,6 млн. россиян были проиндексированы на 8,8%. 1 апреля 2011 года на 10,27% были проиндексированы социальные пенсии, на 6,5% были увеличены размеры ежемесячных денежных выплат. В августе была проведена беззаявительная корректировка трудовых пенсий 13,5 млн. работающих пенсионеров. Помимо этого с 1 января 2011 года ПФР осуществил доплату к пенсии 61,9 тыс. бывших работников угольной промышленности.</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Помимо плановых повышений социальных и трудовых пенсий, в 2011 году ПФР продолжал установление и выплату федеральной социальной доплаты к пенсии до прожиточного минимума пенсионера в регионе его проживания. В ушедшем году ПФР выплачивал федеральную социальную доплату 2,4 млн. неработающих пенсионеров. Региональная доплата выплачивалась еще 2,4 млн. пенсионеров местными органами социальной защиты населения. Объем средств, направленных на выплату социальных доплат к пенсии в целом по РФ в 2011 году, составил 133,47 млрд. рублей.</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своем выступлении глава ПФР подвел итоги работы программы государственного софинансирования пенсии в 2011 году. За прошлый год участники программы внесли более 4 млрд. рублей взносов, что на полмиллиарда рублей больше, чем в 2010 году. Всего за три года действия программы ее участники, количество которых за прошлый год возросло до 7 млн. человек, внесли на свои пенсионные счета более 10 млрд. рублей. Средний размер платежа в 2011 году составил 5 970 рублей. Сумма взносов участников программы будет софинансирована государством в мае 2012 года.</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2011 году ПФР продолжал работу по реализации программы поддержки семей с двумя и более детьми (материнский семейный капитал). Самым популярным направлением использования материнского капитала в 2011 году было погашение жилищных кредитов и займов. По заявлению владельцев государственных сертификатов на материнский капитал Пенсионный фонд России в 2011 году направил на эти цели более 110 млрд. рублей.</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целом, в структуре расходования средств материнского капитала погашение жилищных кредитов занимает 75,45%, улучшение жилищных условий без привлечения кредитных средств – 24,2%, обучение детей – 0,31% и перевод средств на накопительную часть пенсии – 0,04%.</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 xml:space="preserve">В 2011 году при участии Пенсионного фонда были </w:t>
      </w:r>
      <w:proofErr w:type="gramStart"/>
      <w:r w:rsidRPr="00067C24">
        <w:rPr>
          <w:rFonts w:ascii="Verdana" w:eastAsia="Times New Roman" w:hAnsi="Verdana" w:cs="Times New Roman"/>
          <w:b/>
          <w:bCs/>
          <w:color w:val="052635"/>
          <w:sz w:val="17"/>
          <w:szCs w:val="17"/>
          <w:lang w:eastAsia="ru-RU"/>
        </w:rPr>
        <w:t>разработан и внесен</w:t>
      </w:r>
      <w:proofErr w:type="gramEnd"/>
      <w:r w:rsidRPr="00067C24">
        <w:rPr>
          <w:rFonts w:ascii="Verdana" w:eastAsia="Times New Roman" w:hAnsi="Verdana" w:cs="Times New Roman"/>
          <w:b/>
          <w:bCs/>
          <w:color w:val="052635"/>
          <w:sz w:val="17"/>
          <w:szCs w:val="17"/>
          <w:lang w:eastAsia="ru-RU"/>
        </w:rPr>
        <w:t xml:space="preserve"> ряд изменений в законодательство. Теперь семьи, владеющие государственным сертификатом на материнский капитал, могут направить его средства на оплату не только обучения, но и содержания ребенка в дошкольном образовательном учреждении.</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На сегодня полностью использовали материнский капитал 15,8% семей. Его размер в 2012 году составляет 387,6 тыс. рублей. На выплату материнского капитала в бюджете ПФР на 2012 год заложено 162,7 млрд. руб. На 1 января 2012 года всего сертификаты получили более 3,3 млн. семей. В бюджете ПФР на 2012 год на выплату материнского капитала предусмотрено 162,7 млрд. рублей.</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В 2011 году ПФР направил на реализацию социальных программ 947,6 млн. рублей. Важно отметить, что условие обязательного софинансирования социальных программ из средств региональных бюджетов, способствует изысканию субъектами РФ дополнительных средств на социальную поддержку малоимущих граждан.</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t>Результатом этой работы является то, что материальную поддержку получают самые незащищенные категории граждан – малоимущие неработающие пенсионеры, одинокие люди преклонного возраста, проживающие в учреждениях социального обслуживания, пожилые люди, пострадавшие от чрезвычайных ситуаций и стихийных бедствий.</w:t>
      </w:r>
    </w:p>
    <w:p w:rsidR="00067C24" w:rsidRPr="00067C24" w:rsidRDefault="00067C24" w:rsidP="00067C24">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067C24">
        <w:rPr>
          <w:rFonts w:ascii="Verdana" w:eastAsia="Times New Roman" w:hAnsi="Verdana" w:cs="Times New Roman"/>
          <w:b/>
          <w:bCs/>
          <w:color w:val="052635"/>
          <w:sz w:val="17"/>
          <w:szCs w:val="17"/>
          <w:lang w:eastAsia="ru-RU"/>
        </w:rPr>
        <w:lastRenderedPageBreak/>
        <w:t>В рамках Правления Пенсионного фонда России с докладами также выступили ряд управляющих региональными Отделениями ПФР с докладами о разработанных и внедренных способах и методах организации работы по администрированию страховых взносов, межведомственному взаимодействию, переводу пенсионных дел в электронный вид, предоставлению российским семьям материнского капитала и другим актуальным вопросам деятельности ПФР. </w:t>
      </w:r>
    </w:p>
    <w:p w:rsidR="00610EE0" w:rsidRDefault="00610EE0">
      <w:bookmarkStart w:id="0" w:name="_GoBack"/>
      <w:bookmarkEnd w:id="0"/>
    </w:p>
    <w:sectPr w:rsidR="00610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24"/>
    <w:rsid w:val="00067C24"/>
    <w:rsid w:val="00610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C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7C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C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7C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10767">
      <w:bodyDiv w:val="1"/>
      <w:marLeft w:val="0"/>
      <w:marRight w:val="0"/>
      <w:marTop w:val="0"/>
      <w:marBottom w:val="0"/>
      <w:divBdr>
        <w:top w:val="none" w:sz="0" w:space="0" w:color="auto"/>
        <w:left w:val="none" w:sz="0" w:space="0" w:color="auto"/>
        <w:bottom w:val="none" w:sz="0" w:space="0" w:color="auto"/>
        <w:right w:val="none" w:sz="0" w:space="0" w:color="auto"/>
      </w:divBdr>
      <w:divsChild>
        <w:div w:id="15182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помогаю людям</dc:creator>
  <cp:lastModifiedBy>Я помогаю людям</cp:lastModifiedBy>
  <cp:revision>1</cp:revision>
  <dcterms:created xsi:type="dcterms:W3CDTF">2016-09-28T11:39:00Z</dcterms:created>
  <dcterms:modified xsi:type="dcterms:W3CDTF">2016-09-28T11:53:00Z</dcterms:modified>
</cp:coreProperties>
</file>