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D68" w:rsidRPr="00E27D68" w:rsidRDefault="00E27D68" w:rsidP="00E27D68">
      <w:pPr>
        <w:widowControl w:val="0"/>
        <w:suppressAutoHyphens/>
        <w:spacing w:after="0" w:line="240" w:lineRule="auto"/>
        <w:jc w:val="center"/>
        <w:rPr>
          <w:rFonts w:ascii="Arial" w:eastAsia="SimSun" w:hAnsi="Arial" w:cs="Arial"/>
          <w:b/>
          <w:kern w:val="1"/>
          <w:sz w:val="24"/>
          <w:szCs w:val="24"/>
          <w:lang w:eastAsia="hi-IN" w:bidi="hi-IN"/>
        </w:rPr>
      </w:pPr>
      <w:r w:rsidRPr="00E27D68">
        <w:rPr>
          <w:rFonts w:ascii="Arial" w:eastAsia="SimSun" w:hAnsi="Arial" w:cs="Arial"/>
          <w:b/>
          <w:kern w:val="1"/>
          <w:sz w:val="24"/>
          <w:szCs w:val="24"/>
          <w:lang w:eastAsia="hi-IN" w:bidi="hi-IN"/>
        </w:rPr>
        <w:t>Тульская область</w:t>
      </w:r>
    </w:p>
    <w:p w:rsidR="00E27D68" w:rsidRPr="00E27D68" w:rsidRDefault="00E27D68" w:rsidP="00E27D68">
      <w:pPr>
        <w:widowControl w:val="0"/>
        <w:suppressAutoHyphens/>
        <w:spacing w:after="0" w:line="240" w:lineRule="auto"/>
        <w:jc w:val="center"/>
        <w:rPr>
          <w:rFonts w:ascii="Arial" w:eastAsia="SimSun" w:hAnsi="Arial" w:cs="Arial"/>
          <w:b/>
          <w:kern w:val="1"/>
          <w:sz w:val="24"/>
          <w:szCs w:val="24"/>
          <w:lang w:eastAsia="hi-IN" w:bidi="hi-IN"/>
        </w:rPr>
      </w:pPr>
      <w:r w:rsidRPr="00E27D68">
        <w:rPr>
          <w:rFonts w:ascii="Arial" w:eastAsia="SimSun" w:hAnsi="Arial" w:cs="Arial"/>
          <w:b/>
          <w:kern w:val="1"/>
          <w:sz w:val="24"/>
          <w:szCs w:val="24"/>
          <w:lang w:eastAsia="hi-IN" w:bidi="hi-IN"/>
        </w:rPr>
        <w:t xml:space="preserve">Муниципальное образование </w:t>
      </w:r>
    </w:p>
    <w:p w:rsidR="00E27D68" w:rsidRPr="00E27D68" w:rsidRDefault="00E27D68" w:rsidP="00E27D68">
      <w:pPr>
        <w:widowControl w:val="0"/>
        <w:suppressAutoHyphens/>
        <w:spacing w:after="0" w:line="240" w:lineRule="auto"/>
        <w:jc w:val="center"/>
        <w:rPr>
          <w:rFonts w:ascii="Arial" w:eastAsia="SimSun" w:hAnsi="Arial" w:cs="Arial"/>
          <w:b/>
          <w:kern w:val="1"/>
          <w:sz w:val="24"/>
          <w:szCs w:val="24"/>
          <w:lang w:eastAsia="hi-IN" w:bidi="hi-IN"/>
        </w:rPr>
      </w:pPr>
      <w:r w:rsidRPr="00E27D68">
        <w:rPr>
          <w:rFonts w:ascii="Arial" w:eastAsia="SimSun" w:hAnsi="Arial" w:cs="Arial"/>
          <w:b/>
          <w:kern w:val="1"/>
          <w:sz w:val="24"/>
          <w:szCs w:val="24"/>
          <w:lang w:eastAsia="hi-IN" w:bidi="hi-IN"/>
        </w:rPr>
        <w:t>рабочий поселок Дубна Дубенского района</w:t>
      </w:r>
    </w:p>
    <w:p w:rsidR="00E27D68" w:rsidRPr="00E27D68" w:rsidRDefault="00E27D68" w:rsidP="00E27D68">
      <w:pPr>
        <w:widowControl w:val="0"/>
        <w:suppressAutoHyphens/>
        <w:spacing w:after="0" w:line="240" w:lineRule="auto"/>
        <w:jc w:val="center"/>
        <w:rPr>
          <w:rFonts w:ascii="Arial" w:eastAsia="SimSun" w:hAnsi="Arial" w:cs="Arial"/>
          <w:b/>
          <w:kern w:val="1"/>
          <w:sz w:val="24"/>
          <w:szCs w:val="24"/>
          <w:lang w:eastAsia="hi-IN" w:bidi="hi-IN"/>
        </w:rPr>
      </w:pPr>
      <w:r w:rsidRPr="00E27D68">
        <w:rPr>
          <w:rFonts w:ascii="Arial" w:eastAsia="SimSun" w:hAnsi="Arial" w:cs="Arial"/>
          <w:b/>
          <w:kern w:val="1"/>
          <w:sz w:val="24"/>
          <w:szCs w:val="24"/>
          <w:lang w:eastAsia="hi-IN" w:bidi="hi-IN"/>
        </w:rPr>
        <w:t>Собрание депутатов</w:t>
      </w:r>
    </w:p>
    <w:p w:rsidR="00E27D68" w:rsidRPr="00E27D68" w:rsidRDefault="00E27D68" w:rsidP="00E27D68">
      <w:pPr>
        <w:widowControl w:val="0"/>
        <w:suppressAutoHyphens/>
        <w:spacing w:after="0" w:line="240" w:lineRule="auto"/>
        <w:jc w:val="center"/>
        <w:rPr>
          <w:rFonts w:ascii="Arial" w:eastAsia="SimSun" w:hAnsi="Arial" w:cs="Arial"/>
          <w:b/>
          <w:kern w:val="1"/>
          <w:sz w:val="24"/>
          <w:szCs w:val="24"/>
          <w:lang w:eastAsia="hi-IN" w:bidi="hi-IN"/>
        </w:rPr>
      </w:pPr>
    </w:p>
    <w:p w:rsidR="00E27D68" w:rsidRPr="00E27D68" w:rsidRDefault="00E27D68" w:rsidP="00E27D68">
      <w:pPr>
        <w:widowControl w:val="0"/>
        <w:suppressAutoHyphens/>
        <w:spacing w:after="0" w:line="240" w:lineRule="auto"/>
        <w:jc w:val="right"/>
        <w:rPr>
          <w:rFonts w:ascii="Arial" w:eastAsia="SimSun" w:hAnsi="Arial" w:cs="Arial"/>
          <w:b/>
          <w:kern w:val="1"/>
          <w:sz w:val="24"/>
          <w:szCs w:val="24"/>
          <w:lang w:eastAsia="hi-IN" w:bidi="hi-IN"/>
        </w:rPr>
      </w:pPr>
      <w:r w:rsidRPr="00E27D68">
        <w:rPr>
          <w:rFonts w:ascii="Arial" w:eastAsia="SimSun" w:hAnsi="Arial" w:cs="Arial"/>
          <w:b/>
          <w:kern w:val="1"/>
          <w:sz w:val="24"/>
          <w:szCs w:val="24"/>
          <w:lang w:eastAsia="hi-IN" w:bidi="hi-IN"/>
        </w:rPr>
        <w:t xml:space="preserve">  </w:t>
      </w:r>
    </w:p>
    <w:p w:rsidR="00E27D68" w:rsidRPr="00E27D68" w:rsidRDefault="00E27D68" w:rsidP="00E27D68">
      <w:pPr>
        <w:widowControl w:val="0"/>
        <w:suppressAutoHyphens/>
        <w:spacing w:after="0" w:line="240" w:lineRule="auto"/>
        <w:jc w:val="center"/>
        <w:rPr>
          <w:rFonts w:ascii="Arial" w:eastAsia="SimSun" w:hAnsi="Arial" w:cs="Arial"/>
          <w:b/>
          <w:kern w:val="1"/>
          <w:sz w:val="24"/>
          <w:szCs w:val="24"/>
          <w:lang w:eastAsia="hi-IN" w:bidi="hi-IN"/>
        </w:rPr>
      </w:pPr>
      <w:r w:rsidRPr="00E27D68">
        <w:rPr>
          <w:rFonts w:ascii="Arial" w:eastAsia="SimSun" w:hAnsi="Arial" w:cs="Arial"/>
          <w:b/>
          <w:kern w:val="1"/>
          <w:sz w:val="24"/>
          <w:szCs w:val="24"/>
          <w:lang w:eastAsia="hi-IN" w:bidi="hi-IN"/>
        </w:rPr>
        <w:t>РЕШЕНИЕ</w:t>
      </w:r>
    </w:p>
    <w:p w:rsidR="00E27D68" w:rsidRPr="00E27D68" w:rsidRDefault="00E27D68" w:rsidP="00E27D68">
      <w:pPr>
        <w:shd w:val="clear" w:color="auto" w:fill="FFFFFF"/>
        <w:suppressAutoHyphens/>
        <w:spacing w:after="0" w:line="240" w:lineRule="auto"/>
        <w:ind w:right="-2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27D68" w:rsidRDefault="00B71BCE" w:rsidP="00B71BCE">
      <w:pPr>
        <w:tabs>
          <w:tab w:val="left" w:pos="426"/>
        </w:tabs>
        <w:suppressAutoHyphens/>
        <w:spacing w:after="0" w:line="240" w:lineRule="auto"/>
        <w:ind w:left="426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от 20.12.2017 г.</w:t>
      </w:r>
      <w:r w:rsidR="00E27D68" w:rsidRPr="00E27D6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</w:t>
      </w:r>
      <w:r w:rsidR="00E27D68" w:rsidRPr="00E27D68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="00E27D68" w:rsidRPr="00E27D68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="00E27D68" w:rsidRPr="00E27D68">
        <w:rPr>
          <w:rFonts w:ascii="Arial" w:eastAsia="Times New Roman" w:hAnsi="Arial" w:cs="Arial"/>
          <w:b/>
          <w:sz w:val="24"/>
          <w:szCs w:val="24"/>
          <w:lang w:eastAsia="ru-RU"/>
        </w:rPr>
        <w:tab/>
        <w:t xml:space="preserve">   </w:t>
      </w:r>
      <w:r w:rsidR="00E27D68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="00E27D68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="00E27D68" w:rsidRPr="00E27D6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№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22-3</w:t>
      </w:r>
    </w:p>
    <w:p w:rsidR="00B71BCE" w:rsidRPr="00E27D68" w:rsidRDefault="00B71BCE" w:rsidP="00B71BCE">
      <w:pPr>
        <w:tabs>
          <w:tab w:val="left" w:pos="426"/>
        </w:tabs>
        <w:suppressAutoHyphens/>
        <w:spacing w:after="0" w:line="240" w:lineRule="auto"/>
        <w:ind w:left="426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7D68" w:rsidRPr="00E27D68" w:rsidRDefault="00E27D68" w:rsidP="00E27D68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E27D68">
        <w:rPr>
          <w:rFonts w:ascii="Arial" w:eastAsia="Times New Roman" w:hAnsi="Arial" w:cs="Arial"/>
          <w:b/>
          <w:sz w:val="32"/>
          <w:szCs w:val="32"/>
          <w:lang w:eastAsia="ru-RU"/>
        </w:rPr>
        <w:t>О внесении изменений в решение Собрания депутатов муниципального образования рабочий поселок Дубна Дубенского района от 17.03.2014 г. №8-4 «Об утверждении Правил благоустройства и санитарного содержания территории муниципального образования рабочий поселок Дубна  Дубенского района»</w:t>
      </w:r>
    </w:p>
    <w:p w:rsidR="00E27D68" w:rsidRPr="00E27D68" w:rsidRDefault="00E27D68" w:rsidP="00E27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E27D68" w:rsidRPr="00E27D68" w:rsidRDefault="00E27D68" w:rsidP="00E27D68">
      <w:pPr>
        <w:spacing w:after="0" w:line="276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7D68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на основании Устава муниципального образования рабочий поселок Дубна Дубенского района, Собрание депутатов муниципального образования рабочий поселок Дубна Дубенского района РЕШИЛО:</w:t>
      </w:r>
    </w:p>
    <w:p w:rsidR="00E27D68" w:rsidRPr="00E27D68" w:rsidRDefault="00E27D68" w:rsidP="00E27D68">
      <w:pPr>
        <w:spacing w:after="0" w:line="276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7D68">
        <w:rPr>
          <w:rFonts w:ascii="Arial" w:eastAsia="Times New Roman" w:hAnsi="Arial" w:cs="Arial"/>
          <w:sz w:val="24"/>
          <w:szCs w:val="24"/>
          <w:lang w:eastAsia="ru-RU"/>
        </w:rPr>
        <w:t>1. Внести в решение Собрания депутатов муниципального образования рабочий поселок Дубна Дубенского района от 17.03.2014 г. №8-4 «Об утверждении Правил благоустройства и санитарного содержания территории муниципального образования рабочий поселок Дубна  Дубенского района» следующие изменения:</w:t>
      </w:r>
    </w:p>
    <w:p w:rsidR="00E27D68" w:rsidRPr="00E27D68" w:rsidRDefault="00E27D68" w:rsidP="00E27D68">
      <w:pPr>
        <w:spacing w:after="0" w:line="276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7D68">
        <w:rPr>
          <w:rFonts w:ascii="Arial" w:eastAsia="Times New Roman" w:hAnsi="Arial" w:cs="Arial"/>
          <w:sz w:val="24"/>
          <w:szCs w:val="24"/>
          <w:lang w:eastAsia="ru-RU"/>
        </w:rPr>
        <w:t>1) пункт 42 статьи 2.5 Правил изложить в следующей редакции:</w:t>
      </w:r>
    </w:p>
    <w:p w:rsidR="00E27D68" w:rsidRPr="00E27D68" w:rsidRDefault="00E27D68" w:rsidP="00E27D68">
      <w:pPr>
        <w:spacing w:after="0" w:line="276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7D68">
        <w:rPr>
          <w:rFonts w:ascii="Arial" w:eastAsia="Times New Roman" w:hAnsi="Arial" w:cs="Arial"/>
          <w:sz w:val="24"/>
          <w:szCs w:val="24"/>
          <w:lang w:eastAsia="ru-RU"/>
        </w:rPr>
        <w:t>«42. На территориях общественного, жилого, рекреационного назначения рекомендуется применять декоративные ажурные металлические ограждения и не рекомендуется применение сплошных, глухих и железобетонных ограждений, в том числе при проектировании ограждений многоквартирных домов. Организацию (проектирование) ограждений производят в зависимости от их местоположения и назначения согласно ГОСТам, каталогам сертифицированных изделий, проектам индивидуального проектирования.</w:t>
      </w:r>
    </w:p>
    <w:p w:rsidR="00E27D68" w:rsidRPr="00E27D68" w:rsidRDefault="00E27D68" w:rsidP="00E27D68">
      <w:pPr>
        <w:spacing w:after="0" w:line="276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7D68">
        <w:rPr>
          <w:rFonts w:ascii="Arial" w:eastAsia="Times New Roman" w:hAnsi="Arial" w:cs="Arial"/>
          <w:sz w:val="24"/>
          <w:szCs w:val="24"/>
          <w:lang w:eastAsia="ru-RU"/>
        </w:rPr>
        <w:t>Устройство ограждений является элементом благоустройства. В целях благоустройства на территории муниципальных образований Тульской области рекомендуется применение различных видов ограждений:</w:t>
      </w:r>
    </w:p>
    <w:p w:rsidR="00E27D68" w:rsidRPr="00E27D68" w:rsidRDefault="00E27D68" w:rsidP="00E27D68">
      <w:pPr>
        <w:spacing w:after="0" w:line="276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7D68">
        <w:rPr>
          <w:rFonts w:ascii="Arial" w:eastAsia="Times New Roman" w:hAnsi="Arial" w:cs="Arial"/>
          <w:sz w:val="24"/>
          <w:szCs w:val="24"/>
          <w:lang w:eastAsia="ru-RU"/>
        </w:rPr>
        <w:t>- газонные ограждения (высота 0,3 - 0,5 м);</w:t>
      </w:r>
    </w:p>
    <w:p w:rsidR="00E27D68" w:rsidRPr="00E27D68" w:rsidRDefault="00E27D68" w:rsidP="00E27D68">
      <w:pPr>
        <w:spacing w:after="0" w:line="276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7D68">
        <w:rPr>
          <w:rFonts w:ascii="Arial" w:eastAsia="Times New Roman" w:hAnsi="Arial" w:cs="Arial"/>
          <w:sz w:val="24"/>
          <w:szCs w:val="24"/>
          <w:lang w:eastAsia="ru-RU"/>
        </w:rPr>
        <w:t>- ограды: низкие (высота 0,5 - 1,0 м), средние (высота 1,0 - 1,5 м), высокие (высота 1,5 - 2,0 м);</w:t>
      </w:r>
    </w:p>
    <w:p w:rsidR="00E27D68" w:rsidRPr="00E27D68" w:rsidRDefault="00E27D68" w:rsidP="00E27D68">
      <w:pPr>
        <w:spacing w:after="0" w:line="276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7D68">
        <w:rPr>
          <w:rFonts w:ascii="Arial" w:eastAsia="Times New Roman" w:hAnsi="Arial" w:cs="Arial"/>
          <w:sz w:val="24"/>
          <w:szCs w:val="24"/>
          <w:lang w:eastAsia="ru-RU"/>
        </w:rPr>
        <w:t>- ограждения - тумбы для транспортных проездов и автостоянок (высота 0,3 - 0,4 м);</w:t>
      </w:r>
    </w:p>
    <w:p w:rsidR="00E27D68" w:rsidRPr="00E27D68" w:rsidRDefault="00E27D68" w:rsidP="00E27D68">
      <w:pPr>
        <w:spacing w:after="0" w:line="276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7D68">
        <w:rPr>
          <w:rFonts w:ascii="Arial" w:eastAsia="Times New Roman" w:hAnsi="Arial" w:cs="Arial"/>
          <w:sz w:val="24"/>
          <w:szCs w:val="24"/>
          <w:lang w:eastAsia="ru-RU"/>
        </w:rPr>
        <w:t>- ограждения спортивных площадок (высота 2,5 - 3,0 м);</w:t>
      </w:r>
    </w:p>
    <w:p w:rsidR="00E27D68" w:rsidRPr="00E27D68" w:rsidRDefault="00E27D68" w:rsidP="00E27D68">
      <w:pPr>
        <w:spacing w:after="0" w:line="276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7D68">
        <w:rPr>
          <w:rFonts w:ascii="Arial" w:eastAsia="Times New Roman" w:hAnsi="Arial" w:cs="Arial"/>
          <w:sz w:val="24"/>
          <w:szCs w:val="24"/>
          <w:lang w:eastAsia="ru-RU"/>
        </w:rPr>
        <w:t>- декоративные ограждения (высота 1,2 - 2,0 м);</w:t>
      </w:r>
    </w:p>
    <w:p w:rsidR="00E27D68" w:rsidRPr="00E27D68" w:rsidRDefault="00E27D68" w:rsidP="00E27D68">
      <w:pPr>
        <w:spacing w:after="0" w:line="276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7D68">
        <w:rPr>
          <w:rFonts w:ascii="Arial" w:eastAsia="Times New Roman" w:hAnsi="Arial" w:cs="Arial"/>
          <w:sz w:val="24"/>
          <w:szCs w:val="24"/>
          <w:lang w:eastAsia="ru-RU"/>
        </w:rPr>
        <w:t>- технические ограждения (высота в соответствии с действующими нормами)</w:t>
      </w:r>
      <w:proofErr w:type="gramStart"/>
      <w:r w:rsidRPr="00E27D68">
        <w:rPr>
          <w:rFonts w:ascii="Arial" w:eastAsia="Times New Roman" w:hAnsi="Arial" w:cs="Arial"/>
          <w:sz w:val="24"/>
          <w:szCs w:val="24"/>
          <w:lang w:eastAsia="ru-RU"/>
        </w:rPr>
        <w:t>.»</w:t>
      </w:r>
      <w:proofErr w:type="gramEnd"/>
      <w:r w:rsidRPr="00E27D68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E27D68" w:rsidRPr="00E27D68" w:rsidRDefault="00E27D68" w:rsidP="00E27D68">
      <w:pPr>
        <w:spacing w:after="0" w:line="276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7D68">
        <w:rPr>
          <w:rFonts w:ascii="Arial" w:eastAsia="Times New Roman" w:hAnsi="Arial" w:cs="Arial"/>
          <w:sz w:val="24"/>
          <w:szCs w:val="24"/>
          <w:lang w:eastAsia="ru-RU"/>
        </w:rPr>
        <w:t>2) пункт 43 статьи 2.5 Правил изложить в следующей редакции:</w:t>
      </w:r>
    </w:p>
    <w:p w:rsidR="00E27D68" w:rsidRPr="00E27D68" w:rsidRDefault="00E27D68" w:rsidP="00E27D68">
      <w:pPr>
        <w:spacing w:after="0" w:line="276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7D6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«43. Организацию (проектирование) ограждений производят в зависимости от их местоположения и назначения согласно ГОСТам, каталогам сертифицированных изделий, проектам индивидуального проектирования</w:t>
      </w:r>
      <w:proofErr w:type="gramStart"/>
      <w:r w:rsidRPr="00E27D68">
        <w:rPr>
          <w:rFonts w:ascii="Arial" w:eastAsia="Times New Roman" w:hAnsi="Arial" w:cs="Arial"/>
          <w:sz w:val="24"/>
          <w:szCs w:val="24"/>
          <w:lang w:eastAsia="ru-RU"/>
        </w:rPr>
        <w:t>.»;</w:t>
      </w:r>
      <w:proofErr w:type="gramEnd"/>
    </w:p>
    <w:p w:rsidR="00E27D68" w:rsidRPr="00E27D68" w:rsidRDefault="00E27D68" w:rsidP="00E27D68">
      <w:pPr>
        <w:spacing w:after="0" w:line="276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7D68">
        <w:rPr>
          <w:rFonts w:ascii="Arial" w:eastAsia="Times New Roman" w:hAnsi="Arial" w:cs="Arial"/>
          <w:sz w:val="24"/>
          <w:szCs w:val="24"/>
          <w:lang w:eastAsia="ru-RU"/>
        </w:rPr>
        <w:t>3)  пункт 66 статьи 2.7 Правил изложить в следующей редакции:</w:t>
      </w:r>
    </w:p>
    <w:p w:rsidR="00E27D68" w:rsidRPr="00E27D68" w:rsidRDefault="00E27D68" w:rsidP="00E27D68">
      <w:pPr>
        <w:spacing w:after="0" w:line="276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7D68">
        <w:rPr>
          <w:rFonts w:ascii="Arial" w:eastAsia="Times New Roman" w:hAnsi="Arial" w:cs="Arial"/>
          <w:sz w:val="24"/>
          <w:szCs w:val="24"/>
          <w:lang w:eastAsia="ru-RU"/>
        </w:rPr>
        <w:t>«66. Игровое оборудование должно соответствовать требованиям санитарно-гигиенических норм, охраны жизни и здоровья ребенка, быть удобным в технической эксплуатации, эстетически привлекательным. Рекомендуется при выборе состава игрового и спортивного оборудования для детей и подростков должно быть обеспечено соответствие оборудования анатомо-физиологическим особенностям разных возрастных групп</w:t>
      </w:r>
      <w:proofErr w:type="gramStart"/>
      <w:r w:rsidRPr="00E27D68">
        <w:rPr>
          <w:rFonts w:ascii="Arial" w:eastAsia="Times New Roman" w:hAnsi="Arial" w:cs="Arial"/>
          <w:sz w:val="24"/>
          <w:szCs w:val="24"/>
          <w:lang w:eastAsia="ru-RU"/>
        </w:rPr>
        <w:t>.»;</w:t>
      </w:r>
      <w:proofErr w:type="gramEnd"/>
    </w:p>
    <w:p w:rsidR="00E27D68" w:rsidRPr="00E27D68" w:rsidRDefault="00E27D68" w:rsidP="00E27D6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7D68">
        <w:rPr>
          <w:rFonts w:ascii="Arial" w:eastAsia="Times New Roman" w:hAnsi="Arial" w:cs="Arial"/>
          <w:sz w:val="24"/>
          <w:szCs w:val="24"/>
          <w:lang w:eastAsia="ru-RU"/>
        </w:rPr>
        <w:t>4)</w:t>
      </w:r>
      <w:r w:rsidRPr="00E27D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27D68">
        <w:rPr>
          <w:rFonts w:ascii="Arial" w:eastAsia="Times New Roman" w:hAnsi="Arial" w:cs="Arial"/>
          <w:sz w:val="24"/>
          <w:szCs w:val="24"/>
          <w:lang w:eastAsia="ru-RU"/>
        </w:rPr>
        <w:t>пункт 69 статьи 2.7 Правил изложить в следующей редакции:</w:t>
      </w:r>
    </w:p>
    <w:p w:rsidR="00E27D68" w:rsidRPr="00E27D68" w:rsidRDefault="00E27D68" w:rsidP="00E27D68">
      <w:pPr>
        <w:spacing w:after="0" w:line="276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7D68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E27D68">
        <w:rPr>
          <w:rFonts w:ascii="Arial" w:eastAsia="Times New Roman" w:hAnsi="Arial" w:cs="Arial"/>
          <w:sz w:val="24"/>
          <w:szCs w:val="24"/>
          <w:lang w:eastAsia="ru-RU"/>
        </w:rPr>
        <w:t>69. При размещении игрового оборудования на детских игровых площадках должны соблюдаться минимальные расстояния безопасности в пределах от 1 метра до 3 метров, в зависимости от типа игрового или спортивного оборудования. В пределах указанных расстояний на участках территории площадки не допускается размещение других видов игрового оборудования, скамей, урн, бортовых камней и твердых видов покрытия, а также веток, стволов, корней деревьев</w:t>
      </w:r>
      <w:proofErr w:type="gramStart"/>
      <w:r w:rsidRPr="00E27D68">
        <w:rPr>
          <w:rFonts w:ascii="Arial" w:eastAsia="Times New Roman" w:hAnsi="Arial" w:cs="Arial"/>
          <w:sz w:val="24"/>
          <w:szCs w:val="24"/>
          <w:lang w:eastAsia="ru-RU"/>
        </w:rPr>
        <w:t>.»;</w:t>
      </w:r>
      <w:proofErr w:type="gramEnd"/>
    </w:p>
    <w:p w:rsidR="00E27D68" w:rsidRPr="00E27D68" w:rsidRDefault="00E27D68" w:rsidP="00E27D68">
      <w:pPr>
        <w:spacing w:after="0" w:line="276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7D68">
        <w:rPr>
          <w:rFonts w:ascii="Arial" w:eastAsia="Times New Roman" w:hAnsi="Arial" w:cs="Arial"/>
          <w:sz w:val="24"/>
          <w:szCs w:val="24"/>
          <w:lang w:eastAsia="ru-RU"/>
        </w:rPr>
        <w:t>5)</w:t>
      </w:r>
      <w:r w:rsidRPr="00E27D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27D68">
        <w:rPr>
          <w:rFonts w:ascii="Arial" w:eastAsia="Times New Roman" w:hAnsi="Arial" w:cs="Arial"/>
          <w:sz w:val="24"/>
          <w:szCs w:val="24"/>
          <w:lang w:eastAsia="ru-RU"/>
        </w:rPr>
        <w:t>абзац 2 пункта 312 статьи 8.3 Правил изложить в следующей редакции:</w:t>
      </w:r>
    </w:p>
    <w:p w:rsidR="00E27D68" w:rsidRPr="00E27D68" w:rsidRDefault="00E27D68" w:rsidP="00E27D68">
      <w:pPr>
        <w:spacing w:after="0" w:line="276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7D68">
        <w:rPr>
          <w:rFonts w:ascii="Arial" w:eastAsia="Times New Roman" w:hAnsi="Arial" w:cs="Arial"/>
          <w:sz w:val="24"/>
          <w:szCs w:val="24"/>
          <w:lang w:eastAsia="ru-RU"/>
        </w:rPr>
        <w:t>«В случае отсутствия зарегистрированных лиц в частном домовладении, в помещении многоквартирного жилого дома плата за услугу сбора и вывоза ТБО, ЖБО, КГМ рассчитывается по нормативу на одного человека в соответствии с тарифами</w:t>
      </w:r>
      <w:proofErr w:type="gramStart"/>
      <w:r w:rsidRPr="00E27D68">
        <w:rPr>
          <w:rFonts w:ascii="Arial" w:eastAsia="Times New Roman" w:hAnsi="Arial" w:cs="Arial"/>
          <w:sz w:val="24"/>
          <w:szCs w:val="24"/>
          <w:lang w:eastAsia="ru-RU"/>
        </w:rPr>
        <w:t>.»;</w:t>
      </w:r>
      <w:proofErr w:type="gramEnd"/>
    </w:p>
    <w:p w:rsidR="00E27D68" w:rsidRPr="00E27D68" w:rsidRDefault="00E27D68" w:rsidP="00E27D68">
      <w:pPr>
        <w:spacing w:after="0" w:line="276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7D68">
        <w:rPr>
          <w:rFonts w:ascii="Arial" w:eastAsia="Times New Roman" w:hAnsi="Arial" w:cs="Arial"/>
          <w:sz w:val="24"/>
          <w:szCs w:val="24"/>
          <w:lang w:eastAsia="ru-RU"/>
        </w:rPr>
        <w:t>6)</w:t>
      </w:r>
      <w:r w:rsidRPr="00E27D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27D68">
        <w:rPr>
          <w:rFonts w:ascii="Arial" w:eastAsia="Times New Roman" w:hAnsi="Arial" w:cs="Arial"/>
          <w:sz w:val="24"/>
          <w:szCs w:val="24"/>
          <w:lang w:eastAsia="ru-RU"/>
        </w:rPr>
        <w:t>пункт 448 статьи 9 Правил изложить в следующей редакции:</w:t>
      </w:r>
    </w:p>
    <w:p w:rsidR="00E27D68" w:rsidRPr="00E27D68" w:rsidRDefault="00E27D68" w:rsidP="00E27D68">
      <w:pPr>
        <w:spacing w:after="0" w:line="276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7D68">
        <w:rPr>
          <w:rFonts w:ascii="Arial" w:eastAsia="Times New Roman" w:hAnsi="Arial" w:cs="Arial"/>
          <w:sz w:val="24"/>
          <w:szCs w:val="24"/>
          <w:lang w:eastAsia="ru-RU"/>
        </w:rPr>
        <w:t xml:space="preserve">«448. </w:t>
      </w:r>
      <w:proofErr w:type="gramStart"/>
      <w:r w:rsidRPr="00E27D68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E27D68">
        <w:rPr>
          <w:rFonts w:ascii="Arial" w:eastAsia="Times New Roman" w:hAnsi="Arial" w:cs="Arial"/>
          <w:sz w:val="24"/>
          <w:szCs w:val="24"/>
          <w:lang w:eastAsia="ru-RU"/>
        </w:rPr>
        <w:t xml:space="preserve"> соблюдением настоящих Правил осуществляют уполномоченные органы местного самоуправления.</w:t>
      </w:r>
    </w:p>
    <w:p w:rsidR="00E27D68" w:rsidRPr="00E27D68" w:rsidRDefault="00E27D68" w:rsidP="00E27D68">
      <w:pPr>
        <w:spacing w:after="0" w:line="276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7D68">
        <w:rPr>
          <w:rFonts w:ascii="Arial" w:eastAsia="Times New Roman" w:hAnsi="Arial" w:cs="Arial"/>
          <w:sz w:val="24"/>
          <w:szCs w:val="24"/>
          <w:lang w:eastAsia="ru-RU"/>
        </w:rPr>
        <w:t>Лица, нарушающие Правила благоустройства территории, несут ответственность в соответствии с законодательством Российской Федерации об административных правонарушениях, законодательством Тульской области</w:t>
      </w:r>
      <w:proofErr w:type="gramStart"/>
      <w:r w:rsidRPr="00E27D68">
        <w:rPr>
          <w:rFonts w:ascii="Arial" w:eastAsia="Times New Roman" w:hAnsi="Arial" w:cs="Arial"/>
          <w:sz w:val="24"/>
          <w:szCs w:val="24"/>
          <w:lang w:eastAsia="ru-RU"/>
        </w:rPr>
        <w:t>.»;</w:t>
      </w:r>
      <w:proofErr w:type="gramEnd"/>
    </w:p>
    <w:p w:rsidR="00E27D68" w:rsidRPr="00E27D68" w:rsidRDefault="00E27D68" w:rsidP="00E27D68">
      <w:pPr>
        <w:spacing w:after="0" w:line="276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7D68">
        <w:rPr>
          <w:rFonts w:ascii="Arial" w:eastAsia="Times New Roman" w:hAnsi="Arial" w:cs="Arial"/>
          <w:sz w:val="24"/>
          <w:szCs w:val="24"/>
          <w:lang w:eastAsia="ru-RU"/>
        </w:rPr>
        <w:t>7) дополнить Правила статьей 10 следующего содержания:</w:t>
      </w:r>
    </w:p>
    <w:p w:rsidR="00E27D68" w:rsidRPr="00E27D68" w:rsidRDefault="00E27D68" w:rsidP="00E27D68">
      <w:pPr>
        <w:spacing w:after="0" w:line="276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7D68">
        <w:rPr>
          <w:rFonts w:ascii="Arial" w:eastAsia="Times New Roman" w:hAnsi="Arial" w:cs="Arial"/>
          <w:sz w:val="24"/>
          <w:szCs w:val="24"/>
          <w:lang w:eastAsia="ru-RU"/>
        </w:rPr>
        <w:t>«10. Порядок и механизмы общественного участия в процессе благоустройства.</w:t>
      </w:r>
    </w:p>
    <w:p w:rsidR="00E27D68" w:rsidRPr="00E27D68" w:rsidRDefault="00E27D68" w:rsidP="00E27D68">
      <w:pPr>
        <w:spacing w:after="0" w:line="276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7D68">
        <w:rPr>
          <w:rFonts w:ascii="Arial" w:eastAsia="Times New Roman" w:hAnsi="Arial" w:cs="Arial"/>
          <w:sz w:val="24"/>
          <w:szCs w:val="24"/>
          <w:lang w:eastAsia="ru-RU"/>
        </w:rPr>
        <w:t>453. Порядок и механизмы общественного участия в процессе благоустройства:</w:t>
      </w:r>
    </w:p>
    <w:p w:rsidR="00E27D68" w:rsidRPr="00E27D68" w:rsidRDefault="00E27D68" w:rsidP="00E27D68">
      <w:pPr>
        <w:spacing w:after="0" w:line="276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7D68">
        <w:rPr>
          <w:rFonts w:ascii="Arial" w:eastAsia="Times New Roman" w:hAnsi="Arial" w:cs="Arial"/>
          <w:sz w:val="24"/>
          <w:szCs w:val="24"/>
          <w:lang w:eastAsia="ru-RU"/>
        </w:rPr>
        <w:t>- участие граждан, организаций в процессе обсуждения проекта благоустройства, отбора дворовых территорий, общественных территорий;</w:t>
      </w:r>
    </w:p>
    <w:p w:rsidR="00E27D68" w:rsidRPr="00E27D68" w:rsidRDefault="00E27D68" w:rsidP="00E27D68">
      <w:pPr>
        <w:spacing w:after="0" w:line="276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7D68">
        <w:rPr>
          <w:rFonts w:ascii="Arial" w:eastAsia="Times New Roman" w:hAnsi="Arial" w:cs="Arial"/>
          <w:sz w:val="24"/>
          <w:szCs w:val="24"/>
          <w:lang w:eastAsia="ru-RU"/>
        </w:rPr>
        <w:t>- информирование жителей, организаций о планируемых мероприятиях по благоустройству через общественные слушания, обсуждения и размещение информации на сайтах администраций муниципальных образований, средствах массовой информации и в информационно-телекоммуникационной сети Интернет;</w:t>
      </w:r>
    </w:p>
    <w:p w:rsidR="00E27D68" w:rsidRPr="00E27D68" w:rsidRDefault="00E27D68" w:rsidP="00E27D68">
      <w:pPr>
        <w:spacing w:after="0" w:line="276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7D68">
        <w:rPr>
          <w:rFonts w:ascii="Arial" w:eastAsia="Times New Roman" w:hAnsi="Arial" w:cs="Arial"/>
          <w:sz w:val="24"/>
          <w:szCs w:val="24"/>
          <w:lang w:eastAsia="ru-RU"/>
        </w:rPr>
        <w:t>- проведение соцопросов;</w:t>
      </w:r>
    </w:p>
    <w:p w:rsidR="00E27D68" w:rsidRPr="00E27D68" w:rsidRDefault="00E27D68" w:rsidP="00E27D68">
      <w:pPr>
        <w:spacing w:after="0" w:line="276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7D68">
        <w:rPr>
          <w:rFonts w:ascii="Arial" w:eastAsia="Times New Roman" w:hAnsi="Arial" w:cs="Arial"/>
          <w:sz w:val="24"/>
          <w:szCs w:val="24"/>
          <w:lang w:eastAsia="ru-RU"/>
        </w:rPr>
        <w:t>- обеспечение общественного контроля в сфере благоустройства;</w:t>
      </w:r>
    </w:p>
    <w:p w:rsidR="00E27D68" w:rsidRPr="00E27D68" w:rsidRDefault="00E27D68" w:rsidP="00E27D68">
      <w:pPr>
        <w:spacing w:after="0" w:line="276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7D68">
        <w:rPr>
          <w:rFonts w:ascii="Arial" w:eastAsia="Times New Roman" w:hAnsi="Arial" w:cs="Arial"/>
          <w:sz w:val="24"/>
          <w:szCs w:val="24"/>
          <w:lang w:eastAsia="ru-RU"/>
        </w:rPr>
        <w:t>- участие лиц, осуществляющих предпринимательскую деятельность, в реализации комплексных проектов по благоустройству и созданию комфортной городской среды и т.д.».</w:t>
      </w:r>
    </w:p>
    <w:p w:rsidR="00E27D68" w:rsidRPr="00E27D68" w:rsidRDefault="00E27D68" w:rsidP="00E27D68">
      <w:pPr>
        <w:spacing w:after="0" w:line="276" w:lineRule="auto"/>
        <w:ind w:firstLineChars="295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7D68">
        <w:rPr>
          <w:rFonts w:ascii="Arial" w:eastAsia="Times New Roman" w:hAnsi="Arial" w:cs="Arial"/>
          <w:sz w:val="24"/>
          <w:szCs w:val="24"/>
          <w:lang w:eastAsia="ru-RU"/>
        </w:rPr>
        <w:t xml:space="preserve">2. Опубликовать настоящее решение в районной общественно-политической газете «Наследие» и обнародовать на официальном сайте муниципального </w:t>
      </w:r>
      <w:r w:rsidRPr="00E27D68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образования Дубенский район в информационно-телекоммуникационной сети Интернет. </w:t>
      </w:r>
    </w:p>
    <w:p w:rsidR="00E27D68" w:rsidRPr="00E27D68" w:rsidRDefault="00E27D68" w:rsidP="00E27D68">
      <w:pPr>
        <w:spacing w:after="0" w:line="276" w:lineRule="auto"/>
        <w:ind w:firstLineChars="295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7D68">
        <w:rPr>
          <w:rFonts w:ascii="Arial" w:eastAsia="Times New Roman" w:hAnsi="Arial" w:cs="Arial"/>
          <w:sz w:val="24"/>
          <w:szCs w:val="24"/>
          <w:lang w:eastAsia="ru-RU"/>
        </w:rPr>
        <w:t>3. Решение вступает в силу со дня официального опубликования.</w:t>
      </w:r>
    </w:p>
    <w:p w:rsidR="00E27D68" w:rsidRPr="00E27D68" w:rsidRDefault="00E27D68" w:rsidP="00E27D68">
      <w:pPr>
        <w:spacing w:after="0" w:line="276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7D68" w:rsidRPr="00E27D68" w:rsidRDefault="00E27D68" w:rsidP="00E27D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27D68" w:rsidRPr="00E27D68" w:rsidRDefault="00E27D68" w:rsidP="00E27D6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27D68">
        <w:rPr>
          <w:rFonts w:ascii="Arial" w:eastAsia="Times New Roman" w:hAnsi="Arial" w:cs="Arial"/>
          <w:sz w:val="24"/>
          <w:szCs w:val="24"/>
          <w:lang w:eastAsia="ru-RU"/>
        </w:rPr>
        <w:t xml:space="preserve">Глава муниципального образования </w:t>
      </w:r>
    </w:p>
    <w:p w:rsidR="00E27D68" w:rsidRPr="00E27D68" w:rsidRDefault="00E27D68" w:rsidP="00E27D6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27D68">
        <w:rPr>
          <w:rFonts w:ascii="Arial" w:eastAsia="Times New Roman" w:hAnsi="Arial" w:cs="Arial"/>
          <w:sz w:val="24"/>
          <w:szCs w:val="24"/>
          <w:lang w:eastAsia="ru-RU"/>
        </w:rPr>
        <w:t xml:space="preserve">рабочий поселок Дубна Дубенского района                                           Г.А. Давыдова  </w:t>
      </w:r>
      <w:bookmarkStart w:id="0" w:name="_GoBack"/>
      <w:bookmarkEnd w:id="0"/>
    </w:p>
    <w:sectPr w:rsidR="00E27D68" w:rsidRPr="00E27D68" w:rsidSect="00795AA8">
      <w:pgSz w:w="11906" w:h="16838"/>
      <w:pgMar w:top="907" w:right="567" w:bottom="90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A38F2"/>
    <w:multiLevelType w:val="hybridMultilevel"/>
    <w:tmpl w:val="E5522CFE"/>
    <w:lvl w:ilvl="0" w:tplc="83CEF82A">
      <w:start w:val="1"/>
      <w:numFmt w:val="decimal"/>
      <w:lvlText w:val="%1."/>
      <w:lvlJc w:val="left"/>
      <w:pPr>
        <w:ind w:left="2373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15E"/>
    <w:rsid w:val="0009483F"/>
    <w:rsid w:val="002A215E"/>
    <w:rsid w:val="00411333"/>
    <w:rsid w:val="0045708C"/>
    <w:rsid w:val="00695A50"/>
    <w:rsid w:val="00742E16"/>
    <w:rsid w:val="0076388A"/>
    <w:rsid w:val="00896711"/>
    <w:rsid w:val="00B71BCE"/>
    <w:rsid w:val="00D70E70"/>
    <w:rsid w:val="00E27D68"/>
    <w:rsid w:val="00EE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15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2A215E"/>
    <w:rPr>
      <w:rFonts w:cs="Times New Roman"/>
      <w:b/>
      <w:bCs/>
      <w:color w:val="auto"/>
      <w:sz w:val="26"/>
      <w:szCs w:val="26"/>
    </w:rPr>
  </w:style>
  <w:style w:type="paragraph" w:customStyle="1" w:styleId="ConsPlusNormal">
    <w:name w:val="ConsPlusNormal"/>
    <w:rsid w:val="002A21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2A215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94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48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15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2A215E"/>
    <w:rPr>
      <w:rFonts w:cs="Times New Roman"/>
      <w:b/>
      <w:bCs/>
      <w:color w:val="auto"/>
      <w:sz w:val="26"/>
      <w:szCs w:val="26"/>
    </w:rPr>
  </w:style>
  <w:style w:type="paragraph" w:customStyle="1" w:styleId="ConsPlusNormal">
    <w:name w:val="ConsPlusNormal"/>
    <w:rsid w:val="002A21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2A215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94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48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805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Чибисова Диана Витальевна</dc:creator>
  <cp:lastModifiedBy>Титова Виолетта Юрьевна</cp:lastModifiedBy>
  <cp:revision>13</cp:revision>
  <cp:lastPrinted>2017-03-15T11:19:00Z</cp:lastPrinted>
  <dcterms:created xsi:type="dcterms:W3CDTF">2017-03-15T09:16:00Z</dcterms:created>
  <dcterms:modified xsi:type="dcterms:W3CDTF">2017-12-20T14:35:00Z</dcterms:modified>
</cp:coreProperties>
</file>