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/>
      </w:pPr>
      <w:r>
        <w:rPr>
          <w:b/>
          <w:bCs/>
          <w:sz w:val="32"/>
          <w:szCs w:val="32"/>
        </w:rPr>
        <w:t>О выплате пенсии по случаю потери кормильца и повышенной фиксированной выплате на иждивенцев в период академического отпуска</w:t>
      </w:r>
    </w:p>
    <w:p>
      <w:pPr>
        <w:pStyle w:val="Style22"/>
        <w:rPr/>
      </w:pPr>
      <w:r>
        <w:rPr/>
      </w:r>
    </w:p>
    <w:p>
      <w:pPr>
        <w:pStyle w:val="Style15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ab/>
        <w:t>Управление Пенсионного фонда РФ в г.Щекино Тульской области (межрайонное) информирует, что в</w:t>
      </w:r>
      <w:r>
        <w:rPr>
          <w:sz w:val="26"/>
          <w:szCs w:val="26"/>
        </w:rPr>
        <w:t xml:space="preserve"> соответствии с положениями п. 1 ч. 2 ст. 10 Федерального закона от 28.12.2013 № 400-ФЗ к числу нетрудоспособных лиц, которым может быть назначена страховая пенсия по случаю потери кормильца, относятся, в частности, дети, братья, сестры и внуки умершего кормильца, обучающиеся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лет.</w:t>
      </w:r>
    </w:p>
    <w:p>
      <w:pPr>
        <w:pStyle w:val="Style15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  <w:t>Также в соответствии с ч. 3 ст.17 Федерального закона от 28.12.2013 № 400-ФЗ лицам, у которых на иждивении находятся нетрудоспособные лица, обучающиеся по очной форме обучения в общеобразовательном учреждении, устанавливается повышение фиксированной выплаты к страховой пенсии.</w:t>
      </w:r>
    </w:p>
    <w:p>
      <w:pPr>
        <w:pStyle w:val="Style15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  <w:t>Возможны ситуации, когда пенсия по случаю потери кормильца и повышенная фиксированная выплата на иждивенца выплачивается тогда, когда есть перерывы в обучении.</w:t>
      </w:r>
    </w:p>
    <w:p>
      <w:pPr>
        <w:pStyle w:val="Style15"/>
        <w:jc w:val="both"/>
        <w:rPr/>
      </w:pPr>
      <w:r>
        <w:rPr>
          <w:sz w:val="26"/>
          <w:szCs w:val="26"/>
        </w:rPr>
        <w:tab/>
        <w:t>Так по медицинским показаниям и в других исключительных случаях студентам образовательных учреждений предоставляется академический отпуск.  При этом отчисление студентов во время их болезни, академического отпуска или отпуска по беременности и родам не допускается. Таким образом, в период нахождения студента в академическом отпуске или отпуске по беременности и родам за ним сохраняется статус обучающегося, и следовательно, ему как учащемуся очной формы обучения, находящемуся в одном из указанных отпусков, выплата пенсии и повышенной фиксированной выплаты к страховой пенсии осуществляется в общеустановленном порядке.</w:t>
      </w:r>
    </w:p>
    <w:p>
      <w:pPr>
        <w:pStyle w:val="Style15"/>
        <w:jc w:val="both"/>
        <w:rPr/>
      </w:pPr>
      <w:r>
        <w:rPr>
          <w:sz w:val="26"/>
          <w:szCs w:val="26"/>
        </w:rPr>
        <w:tab/>
        <w:t xml:space="preserve">Иначе обстоит вопрос в отношении обучающихся лиц, которым предоставлен академический отпуск, в связи с прохождением военной службы по призыву. Так как лица, проходящие военную службу по призыву, по правовому статусу являются военнослужащими и не могут считаться обучающимися, </w:t>
      </w:r>
      <w:r>
        <w:rPr>
          <w:sz w:val="26"/>
          <w:szCs w:val="26"/>
          <w:lang w:val="ru-RU"/>
        </w:rPr>
        <w:t>следовательно,</w:t>
      </w:r>
      <w:r>
        <w:rPr>
          <w:sz w:val="26"/>
          <w:szCs w:val="26"/>
        </w:rPr>
        <w:t xml:space="preserve"> право на пенсию и повышенную фиксированную выплату у них утрачивается.</w:t>
      </w:r>
      <w:r>
        <w:rPr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ab/>
      </w:r>
    </w:p>
    <w:p>
      <w:pPr>
        <w:pStyle w:val="Style15"/>
        <w:numPr>
          <w:ilvl w:val="1"/>
          <w:numId w:val="1"/>
        </w:numPr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i/>
          <w:iCs w:val="false"/>
          <w:color w:val="000000"/>
          <w:sz w:val="26"/>
          <w:szCs w:val="26"/>
          <w:u w:val="none"/>
          <w:lang w:val="ru-RU"/>
        </w:rPr>
        <w:t xml:space="preserve">      </w:t>
      </w:r>
      <w:r>
        <w:rPr>
          <w:b w:val="false"/>
          <w:bCs w:val="false"/>
          <w:color w:val="000000"/>
          <w:sz w:val="26"/>
          <w:szCs w:val="26"/>
          <w:shd w:fill="FFFFFF" w:val="clear"/>
        </w:rPr>
        <w:tab/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/>
        </w:rPr>
        <w:t>Управление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/>
        </w:rPr>
        <w:t>ПФР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/>
        </w:rPr>
        <w:t xml:space="preserve">в целях экономии времени предлагает гражданам использовать сервис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</w:rPr>
        <w:t xml:space="preserve"> «Личный  кабинет гражданина» на официальном сайте Пенсионного фонда РФ,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/>
        </w:rPr>
        <w:t xml:space="preserve">который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/>
        </w:rPr>
        <w:t>предоставляет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</w:rPr>
        <w:t xml:space="preserve"> гражданам услуги в электронной форме,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/>
        </w:rPr>
        <w:t xml:space="preserve">что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</w:rPr>
        <w:t xml:space="preserve"> удобно и доступно.</w:t>
      </w:r>
    </w:p>
    <w:p>
      <w:pPr>
        <w:pStyle w:val="Style15"/>
        <w:jc w:val="both"/>
        <w:rPr/>
      </w:pPr>
      <w:r>
        <w:rPr>
          <w:b w:val="false"/>
          <w:bCs w:val="false"/>
          <w:sz w:val="26"/>
          <w:szCs w:val="26"/>
        </w:rPr>
        <w:tab/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Для   использования полного перечня данных услуг гражданам следует пройти процедуру   регистрации и  подтверждения учетной записи на Едином портале государственных и муниципальных услуг </w:t>
      </w:r>
      <w:hyperlink r:id="rId2">
        <w:r>
          <w:rPr>
            <w:rStyle w:val="Style11"/>
            <w:b w:val="false"/>
            <w:bCs w:val="false"/>
            <w:sz w:val="26"/>
            <w:szCs w:val="26"/>
          </w:rPr>
          <w:t>https://www.gosuslugi.ru</w:t>
        </w:r>
      </w:hyperlink>
      <w:r>
        <w:rPr>
          <w:rStyle w:val="Style11"/>
          <w:rFonts w:cs="Times New Roman"/>
          <w:b w:val="false"/>
          <w:bCs w:val="false"/>
          <w:i w:val="false"/>
          <w:iCs w:val="false"/>
          <w:color w:val="000000"/>
          <w:sz w:val="26"/>
          <w:szCs w:val="26"/>
        </w:rPr>
        <w:t>/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</w:rPr>
        <w:t>. Сделать это можно самостоятельно или в любой Клиентской службе Управления ПФР.</w:t>
      </w:r>
    </w:p>
    <w:p>
      <w:pPr>
        <w:pStyle w:val="Style15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ab/>
        <w:t xml:space="preserve">Управление ПФР в г. Щекино Тульской области (межрайонное) сообщает, что записаться на прием в Клиентские службы управления можно заранее несколькими способами. Самый простой из них – это запись через официальный сайт Пенсионного фонда </w:t>
      </w:r>
      <w:r>
        <w:rPr>
          <w:rFonts w:cs="Times New Roman"/>
          <w:b w:val="false"/>
          <w:bCs w:val="false"/>
          <w:i w:val="false"/>
          <w:iCs w:val="false"/>
          <w:color w:val="333333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olor w:val="0000CC"/>
          <w:sz w:val="26"/>
          <w:szCs w:val="26"/>
          <w:highlight w:val="white"/>
          <w:lang w:val="en-US"/>
        </w:rPr>
        <w:t xml:space="preserve">pfr.gov.ru. </w:t>
      </w:r>
      <w:r>
        <w:rPr>
          <w:b w:val="false"/>
          <w:bCs w:val="false"/>
          <w:sz w:val="26"/>
          <w:szCs w:val="26"/>
        </w:rPr>
        <w:t xml:space="preserve"> Для этого необходимо зайти в раздел «Личный кабинет гражданина» подраздел «Запись на прием», заполнить все необходимые поля и получить талон. Важно отметить, что сделать это могут даже те граждане, у которых нет подтвержденной учетной записи в единой системе идентификации и аутентификации (ЕСИА). Услуга доступна абсолютно всем. Другой способ – это бесплатное мобильное приложение ПФР, доступное для платформ iOS и Android. В случае необходимости приложение найдет ближайшую клиентскую службу Пенсионного фонда и предоставит возможность записаться на прием. Данные опции так же работают без авторизации на портале госуслуг. И записаться на прием по-прежнему можно, позвонив в клиентские службы Управления ПФР.  Контактные данные клиентских служб размещены на сайте ПФР в разделе «Контакты и адреса». </w:t>
      </w:r>
      <w:r>
        <w:rPr>
          <w:rFonts w:cs="Times New Roman"/>
          <w:b w:val="false"/>
          <w:bCs w:val="false"/>
          <w:i w:val="false"/>
          <w:iCs w:val="false"/>
          <w:color w:val="333333"/>
          <w:sz w:val="26"/>
          <w:szCs w:val="26"/>
        </w:rPr>
        <w:t xml:space="preserve"> </w:t>
      </w:r>
      <w:bookmarkStart w:id="0" w:name="__DdeLink__128_91728652"/>
      <w:r>
        <w:rPr>
          <w:rFonts w:cs="Times New Roman"/>
          <w:b w:val="false"/>
          <w:bCs w:val="false"/>
          <w:i w:val="false"/>
          <w:iCs w:val="false"/>
          <w:color w:val="333333"/>
          <w:sz w:val="26"/>
          <w:szCs w:val="26"/>
        </w:rPr>
        <w:t>Телефон горячей линии ПФР 8-800-600-03-81</w:t>
      </w:r>
      <w:bookmarkEnd w:id="0"/>
      <w:r>
        <w:rPr>
          <w:rFonts w:cs="Times New Roman"/>
          <w:b w:val="false"/>
          <w:bCs w:val="false"/>
          <w:i w:val="false"/>
          <w:iCs w:val="false"/>
          <w:color w:val="333333"/>
          <w:sz w:val="26"/>
          <w:szCs w:val="26"/>
        </w:rPr>
        <w:t>.</w:t>
      </w:r>
    </w:p>
    <w:p>
      <w:pPr>
        <w:pStyle w:val="Style15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15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15"/>
        <w:jc w:val="right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>УПФР в г. Щекино Тульской области (межрайонное)</w:t>
      </w:r>
    </w:p>
    <w:p>
      <w:pPr>
        <w:pStyle w:val="Style15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64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lang w:bidi="zxx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lang w:bidi="zxx"/>
        </w:rPr>
      </w:r>
    </w:p>
    <w:p>
      <w:pPr>
        <w:pStyle w:val="Normal"/>
        <w:spacing w:lineRule="auto" w:line="264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lang w:bidi="zxx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lang w:bidi="zxx"/>
        </w:rPr>
      </w:r>
    </w:p>
    <w:p>
      <w:pPr>
        <w:pStyle w:val="Normal"/>
        <w:spacing w:lineRule="auto" w:line="24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6"/>
        <w:i/>
        <w:b w:val="false"/>
        <w:szCs w:val="26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1">
    <w:name w:val="Заголовок 1"/>
    <w:basedOn w:val="Style14"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Заголовок 2"/>
    <w:basedOn w:val="Style14"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4"/>
    <w:p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Выделение жирным"/>
    <w:rPr>
      <w:b/>
      <w:bCs/>
    </w:rPr>
  </w:style>
  <w:style w:type="character" w:styleId="Style13">
    <w:name w:val="Выделение"/>
    <w:rPr>
      <w:i/>
      <w:iCs/>
    </w:rPr>
  </w:style>
  <w:style w:type="character" w:styleId="WW8Num1z0">
    <w:name w:val="WW8Num1z0"/>
    <w:qFormat/>
    <w:rPr>
      <w:b/>
      <w:i/>
      <w:sz w:val="26"/>
      <w:szCs w:val="2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">
    <w:name w:val="ListLabel 1"/>
    <w:qFormat/>
    <w:rPr>
      <w:b/>
      <w:i/>
      <w:sz w:val="26"/>
      <w:szCs w:val="26"/>
    </w:rPr>
  </w:style>
  <w:style w:type="character" w:styleId="ListLabel2">
    <w:name w:val="ListLabel 2"/>
    <w:qFormat/>
    <w:rPr>
      <w:b/>
      <w:i/>
      <w:sz w:val="26"/>
      <w:szCs w:val="26"/>
    </w:rPr>
  </w:style>
  <w:style w:type="character" w:styleId="ListLabel3">
    <w:name w:val="ListLabel 3"/>
    <w:qFormat/>
    <w:rPr>
      <w:b/>
      <w:i/>
      <w:sz w:val="26"/>
      <w:szCs w:val="26"/>
    </w:rPr>
  </w:style>
  <w:style w:type="character" w:styleId="ListLabel4">
    <w:name w:val="ListLabel 4"/>
    <w:qFormat/>
    <w:rPr>
      <w:b/>
      <w:i/>
      <w:sz w:val="26"/>
      <w:szCs w:val="26"/>
    </w:rPr>
  </w:style>
  <w:style w:type="character" w:styleId="ListLabel5">
    <w:name w:val="ListLabel 5"/>
    <w:qFormat/>
    <w:rPr>
      <w:b/>
      <w:i/>
      <w:sz w:val="26"/>
      <w:szCs w:val="26"/>
    </w:rPr>
  </w:style>
  <w:style w:type="character" w:styleId="ListLabel6">
    <w:name w:val="ListLabel 6"/>
    <w:qFormat/>
    <w:rPr>
      <w:b/>
      <w:i/>
      <w:sz w:val="26"/>
      <w:szCs w:val="26"/>
    </w:rPr>
  </w:style>
  <w:style w:type="character" w:styleId="ListLabel7">
    <w:name w:val="ListLabel 7"/>
    <w:qFormat/>
    <w:rPr>
      <w:b/>
      <w:i/>
      <w:sz w:val="26"/>
      <w:szCs w:val="26"/>
    </w:rPr>
  </w:style>
  <w:style w:type="character" w:styleId="ListLabel8">
    <w:name w:val="ListLabel 8"/>
    <w:qFormat/>
    <w:rPr>
      <w:b/>
      <w:i/>
      <w:sz w:val="26"/>
      <w:szCs w:val="26"/>
    </w:rPr>
  </w:style>
  <w:style w:type="character" w:styleId="ListLabel9">
    <w:name w:val="ListLabel 9"/>
    <w:qFormat/>
    <w:rPr>
      <w:b/>
      <w:i/>
      <w:sz w:val="26"/>
      <w:szCs w:val="26"/>
    </w:rPr>
  </w:style>
  <w:style w:type="character" w:styleId="ListLabel10">
    <w:name w:val="ListLabel 10"/>
    <w:qFormat/>
    <w:rPr>
      <w:b w:val="false"/>
      <w:i/>
      <w:sz w:val="26"/>
      <w:szCs w:val="26"/>
    </w:rPr>
  </w:style>
  <w:style w:type="character" w:styleId="ListLabel11">
    <w:name w:val="ListLabel 11"/>
    <w:qFormat/>
    <w:rPr>
      <w:b w:val="false"/>
      <w:i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Основной текст"/>
    <w:basedOn w:val="Normal"/>
    <w:pPr>
      <w:spacing w:before="0" w:after="120"/>
    </w:pPr>
    <w:rPr/>
  </w:style>
  <w:style w:type="paragraph" w:styleId="Style16">
    <w:name w:val="Список"/>
    <w:basedOn w:val="Style15"/>
    <w:pPr/>
    <w:rPr>
      <w:rFonts w:cs="Tahoma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  <w:style w:type="paragraph" w:styleId="Style19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0">
    <w:name w:val="Заглавие"/>
    <w:basedOn w:val="Style14"/>
    <w:pPr>
      <w:jc w:val="center"/>
    </w:pPr>
    <w:rPr>
      <w:b/>
      <w:bCs/>
      <w:sz w:val="56"/>
      <w:szCs w:val="56"/>
    </w:rPr>
  </w:style>
  <w:style w:type="paragraph" w:styleId="Style21">
    <w:name w:val="Подзаголовок"/>
    <w:basedOn w:val="Style14"/>
    <w:pPr>
      <w:spacing w:before="60" w:after="120"/>
      <w:jc w:val="center"/>
    </w:pPr>
    <w:rPr>
      <w:sz w:val="36"/>
      <w:szCs w:val="36"/>
    </w:rPr>
  </w:style>
  <w:style w:type="paragraph" w:styleId="Style22">
    <w:name w:val="Горизонтальная линия"/>
    <w:basedOn w:val="Normal"/>
    <w:qFormat/>
    <w:pPr/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</TotalTime>
  <Application>LibreOffice/5.1.1.3$Windows_X86_64 LibreOffice_project/89f508ef3ecebd2cfb8e1def0f0ba9a803b88a6d</Application>
  <Pages>2</Pages>
  <Words>501</Words>
  <Characters>3284</Characters>
  <CharactersWithSpaces>3806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2021-05-31T10:55:42Z</cp:lastPrinted>
  <dcterms:modified xsi:type="dcterms:W3CDTF">2021-05-31T10:55:34Z</dcterms:modified>
  <cp:revision>30</cp:revision>
  <dc:subject/>
  <dc:title/>
</cp:coreProperties>
</file>