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280" w:after="280"/>
        <w:jc w:val="right"/>
        <w:outlineLvl w:val="2"/>
        <w:rPr>
          <w:rFonts w:ascii="Times New Roman" w:hAnsi="Times New Roman" w:eastAsia="Times New Roman" w:cs="Times New Roman"/>
          <w:bCs/>
          <w:i/>
          <w:i/>
          <w:sz w:val="28"/>
          <w:szCs w:val="28"/>
          <w:lang w:eastAsia="ru-RU"/>
        </w:rPr>
      </w:pPr>
      <w:r>
        <w:rPr>
          <w:rFonts w:eastAsia="Times New Roman" w:cs="Times New Roman" w:ascii="Times New Roman" w:hAnsi="Times New Roman"/>
          <w:bCs/>
          <w:i/>
          <w:sz w:val="28"/>
          <w:szCs w:val="28"/>
          <w:lang w:eastAsia="ru-RU"/>
        </w:rPr>
        <w:t>Пресс-релиз</w:t>
      </w:r>
    </w:p>
    <w:p>
      <w:pPr>
        <w:pStyle w:val="Normal"/>
        <w:numPr>
          <w:ilvl w:val="0"/>
          <w:numId w:val="0"/>
        </w:numPr>
        <w:spacing w:lineRule="auto" w:line="240" w:before="280" w:after="280"/>
        <w:jc w:val="center"/>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 1 января 2021 года социальные выплаты переходят на карты «МИР»</w:t>
      </w:r>
    </w:p>
    <w:p>
      <w:pPr>
        <w:pStyle w:val="Normal"/>
        <w:spacing w:lineRule="auto" w:line="240" w:before="280" w:after="2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Переход клиентов, получающих пенсии и иные социальные выплаты, осуществляемые ПФР, на использование национальных платёжных инструментов – карт «МИР» должен был завершиться до 1 октября 2020 года.</w:t>
      </w:r>
    </w:p>
    <w:p>
      <w:pPr>
        <w:pStyle w:val="Normal"/>
        <w:spacing w:lineRule="auto" w:line="240" w:before="280" w:after="280"/>
        <w:jc w:val="both"/>
        <w:rPr/>
      </w:pPr>
      <w:r>
        <w:rPr>
          <w:rFonts w:eastAsia="Times New Roman" w:cs="Times New Roman" w:ascii="Times New Roman" w:hAnsi="Times New Roman"/>
          <w:sz w:val="28"/>
          <w:szCs w:val="28"/>
          <w:lang w:eastAsia="ru-RU"/>
        </w:rPr>
        <w:t>Но в условиях распространения коронавирусной инфекции и установления на территории Российской Федерации ограничения передвижения граждан, в особенности лиц пенсионного возраста, а также с учетом социальной значимости пенсионных выплат </w:t>
      </w:r>
      <w:r>
        <w:rPr>
          <w:rFonts w:eastAsia="Times New Roman" w:cs="Times New Roman" w:ascii="Times New Roman" w:hAnsi="Times New Roman"/>
          <w:b/>
          <w:bCs/>
          <w:sz w:val="28"/>
          <w:szCs w:val="28"/>
          <w:lang w:eastAsia="ru-RU"/>
        </w:rPr>
        <w:t>Банк России продлил переход до 31 декабря 2020 года</w:t>
      </w:r>
      <w:r>
        <w:rPr>
          <w:rFonts w:eastAsia="Times New Roman" w:cs="Times New Roman" w:ascii="Times New Roman" w:hAnsi="Times New Roman"/>
          <w:sz w:val="28"/>
          <w:szCs w:val="28"/>
          <w:lang w:eastAsia="ru-RU"/>
        </w:rPr>
        <w:t>. Соответственно, тем пенсионерам, которые используют карты иных платежных систем, до конца нужно успеть перейти на карту «МИР».</w:t>
      </w:r>
    </w:p>
    <w:p>
      <w:pPr>
        <w:pStyle w:val="Normal"/>
        <w:spacing w:lineRule="auto" w:line="240" w:before="280" w:after="2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Это касается только граждан, получающих пенсии и иные социальные выплаты на счета банковских карт других платежных систем («MasterCard», «Visa»).</w:t>
      </w:r>
    </w:p>
    <w:p>
      <w:pPr>
        <w:pStyle w:val="Normal"/>
        <w:spacing w:lineRule="auto" w:line="240" w:before="280" w:after="2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Переход на карту «МИР» не распространяется на тех пенсионеров, кому выплаты зачисляют на счет по вкладу (сберкнижку) или доставляют почтой. Для них ничего не изменится, пенсии будут доставляться по той же схеме, что и раньше.</w:t>
      </w:r>
    </w:p>
    <w:p>
      <w:pPr>
        <w:pStyle w:val="Normal"/>
        <w:numPr>
          <w:ilvl w:val="0"/>
          <w:numId w:val="0"/>
        </w:numPr>
        <w:spacing w:lineRule="auto" w:line="240" w:before="280" w:after="280"/>
        <w:jc w:val="both"/>
        <w:outlineLvl w:val="5"/>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При смене реквизитов счета или способа доставки пенсии, актуальные данные необходимо предоставить в Пенсионный фонд любым удобным способом:</w:t>
      </w:r>
    </w:p>
    <w:p>
      <w:pPr>
        <w:pStyle w:val="Normal"/>
        <w:numPr>
          <w:ilvl w:val="0"/>
          <w:numId w:val="2"/>
        </w:numPr>
        <w:spacing w:lineRule="auto" w:line="240" w:before="28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электронном виде, подав заявление на выбор способа доставки пенсии через Личный кабинет гражданина на сайте ПФР или через портал Госуслуг;</w:t>
      </w:r>
    </w:p>
    <w:p>
      <w:pPr>
        <w:pStyle w:val="Normal"/>
        <w:numPr>
          <w:ilvl w:val="0"/>
          <w:numId w:val="2"/>
        </w:numPr>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письменно, обратившись в МФЦ;</w:t>
      </w:r>
    </w:p>
    <w:p>
      <w:pPr>
        <w:pStyle w:val="Normal"/>
        <w:numPr>
          <w:ilvl w:val="0"/>
          <w:numId w:val="2"/>
        </w:numPr>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письменно, направив заявление по почте;</w:t>
      </w:r>
    </w:p>
    <w:p>
      <w:pPr>
        <w:pStyle w:val="Normal"/>
        <w:numPr>
          <w:ilvl w:val="0"/>
          <w:numId w:val="2"/>
        </w:numPr>
        <w:spacing w:lineRule="auto" w:line="240" w:before="0" w:after="2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письменно, подав заявление о доставке пенсии и иных социальных выплатах в территориальный орган ПФР (по предварительной записи).</w:t>
      </w:r>
      <w:bookmarkStart w:id="0" w:name="_GoBack"/>
      <w:bookmarkEnd w:id="0"/>
    </w:p>
    <w:p>
      <w:pPr>
        <w:pStyle w:val="Normal"/>
        <w:numPr>
          <w:ilvl w:val="0"/>
          <w:numId w:val="0"/>
        </w:numPr>
        <w:spacing w:lineRule="auto" w:line="240" w:before="280" w:after="280"/>
        <w:jc w:val="both"/>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При этом очень важно правильно заполнить заявление. Как избежать ошибок при заполнении заявления:</w:t>
      </w:r>
    </w:p>
    <w:p>
      <w:pPr>
        <w:pStyle w:val="Normal"/>
        <w:numPr>
          <w:ilvl w:val="0"/>
          <w:numId w:val="3"/>
        </w:numPr>
        <w:spacing w:lineRule="auto" w:line="240" w:before="28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необходимо указать именно номер расчетного счета, а не карты;</w:t>
      </w:r>
    </w:p>
    <w:p>
      <w:pPr>
        <w:pStyle w:val="Normal"/>
        <w:numPr>
          <w:ilvl w:val="0"/>
          <w:numId w:val="3"/>
        </w:numPr>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если реквизиты расчетного счета при оформлении карты «Мир» не изменились, то есть заявитель, уже получает выплаты на указанный расчетный счет, подавать заявление не нужно;</w:t>
      </w:r>
    </w:p>
    <w:p>
      <w:pPr>
        <w:pStyle w:val="Normal"/>
        <w:numPr>
          <w:ilvl w:val="0"/>
          <w:numId w:val="3"/>
        </w:numPr>
        <w:spacing w:lineRule="auto" w:line="240" w:before="0" w:after="280"/>
        <w:jc w:val="both"/>
        <w:rPr/>
      </w:pPr>
      <w:r>
        <w:rPr>
          <w:rFonts w:eastAsia="Times New Roman" w:cs="Times New Roman" w:ascii="Times New Roman" w:hAnsi="Times New Roman"/>
          <w:bCs/>
          <w:sz w:val="28"/>
          <w:szCs w:val="28"/>
          <w:lang w:eastAsia="ru-RU"/>
        </w:rPr>
        <w:t>подавать заявление о смене способа выплаты необходимо именно в то ведомство, которое предоставляет выплату</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Cs/>
          <w:sz w:val="28"/>
          <w:szCs w:val="28"/>
          <w:lang w:eastAsia="ru-RU"/>
        </w:rPr>
        <w:t>уточните, откуда поступают выплаты: органы соцзащиты или ПФР</w:t>
      </w:r>
      <w:r>
        <w:rPr>
          <w:rFonts w:eastAsia="Times New Roman" w:cs="Times New Roman" w:ascii="Times New Roman" w:hAnsi="Times New Roman"/>
          <w:sz w:val="28"/>
          <w:szCs w:val="28"/>
          <w:lang w:eastAsia="ru-RU"/>
        </w:rPr>
        <w:t>).</w:t>
      </w:r>
      <w:r>
        <w:rPr>
          <w:rFonts w:eastAsia="Times New Roman" w:cs="Times New Roman" w:ascii="Times New Roman" w:hAnsi="Times New Roman"/>
          <w:bCs/>
          <w:sz w:val="28"/>
          <w:szCs w:val="28"/>
          <w:lang w:eastAsia="ru-RU"/>
        </w:rPr>
        <w:t> </w:t>
      </w:r>
    </w:p>
    <w:p>
      <w:pPr>
        <w:pStyle w:val="Normal"/>
        <w:spacing w:lineRule="auto" w:line="240" w:before="280" w:after="28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280" w:after="280"/>
        <w:jc w:val="center"/>
        <w:rPr>
          <w:rFonts w:ascii="Times New Roman" w:hAnsi="Times New Roman" w:eastAsia="Times New Roman" w:cs="Times New Roman"/>
          <w:b/>
          <w:b/>
          <w:bCs/>
          <w:iCs/>
          <w:sz w:val="28"/>
          <w:szCs w:val="28"/>
          <w:u w:val="single"/>
          <w:lang w:eastAsia="ru-RU"/>
        </w:rPr>
      </w:pPr>
      <w:r>
        <w:rPr>
          <w:rFonts w:eastAsia="Times New Roman" w:cs="Times New Roman" w:ascii="Times New Roman" w:hAnsi="Times New Roman"/>
          <w:b/>
          <w:bCs/>
          <w:iCs/>
          <w:sz w:val="28"/>
          <w:szCs w:val="28"/>
          <w:u w:val="single"/>
          <w:lang w:eastAsia="ru-RU"/>
        </w:rPr>
        <w:t>Горячая линия в ОПФР по Тульской области - 8 800 600 03 81</w:t>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olor w:val="auto"/>
      <w:kern w:val="0"/>
      <w:sz w:val="22"/>
      <w:szCs w:val="22"/>
      <w:lang w:val="ru-RU" w:eastAsia="en-US" w:bidi="ar-SA"/>
    </w:rPr>
  </w:style>
  <w:style w:type="paragraph" w:styleId="1">
    <w:name w:val="Heading 1"/>
    <w:basedOn w:val="Normal"/>
    <w:qFormat/>
    <w:pPr>
      <w:numPr>
        <w:ilvl w:val="0"/>
        <w:numId w:val="0"/>
      </w:numPr>
      <w:spacing w:lineRule="auto" w:line="240" w:before="280" w:after="280"/>
      <w:outlineLvl w:val="0"/>
    </w:pPr>
    <w:rPr>
      <w:rFonts w:ascii="Times New Roman" w:hAnsi="Times New Roman" w:eastAsia="Times New Roman" w:cs="Times New Roman"/>
      <w:b/>
      <w:bCs/>
      <w:kern w:val="2"/>
      <w:sz w:val="48"/>
      <w:szCs w:val="48"/>
      <w:lang w:eastAsia="ru-RU"/>
    </w:rPr>
  </w:style>
  <w:style w:type="paragraph" w:styleId="3">
    <w:name w:val="Heading 3"/>
    <w:basedOn w:val="Normal"/>
    <w:qFormat/>
    <w:pPr>
      <w:numPr>
        <w:ilvl w:val="0"/>
        <w:numId w:val="0"/>
      </w:numPr>
      <w:spacing w:lineRule="auto" w:line="240" w:before="280" w:after="280"/>
      <w:outlineLvl w:val="2"/>
    </w:pPr>
    <w:rPr>
      <w:rFonts w:ascii="Times New Roman" w:hAnsi="Times New Roman" w:eastAsia="Times New Roman" w:cs="Times New Roman"/>
      <w:b/>
      <w:bCs/>
      <w:sz w:val="27"/>
      <w:szCs w:val="27"/>
      <w:lang w:eastAsia="ru-RU"/>
    </w:rPr>
  </w:style>
  <w:style w:type="paragraph" w:styleId="6">
    <w:name w:val="Heading 6"/>
    <w:basedOn w:val="Normal"/>
    <w:qFormat/>
    <w:pPr>
      <w:numPr>
        <w:ilvl w:val="0"/>
        <w:numId w:val="0"/>
      </w:numPr>
      <w:spacing w:lineRule="auto" w:line="240" w:before="280" w:after="280"/>
      <w:outlineLvl w:val="5"/>
    </w:pPr>
    <w:rPr>
      <w:rFonts w:ascii="Times New Roman" w:hAnsi="Times New Roman" w:eastAsia="Times New Roman" w:cs="Times New Roman"/>
      <w:b/>
      <w:bCs/>
      <w:sz w:val="15"/>
      <w:szCs w:val="15"/>
      <w:lang w:eastAsia="ru-RU"/>
    </w:rPr>
  </w:style>
  <w:style w:type="character" w:styleId="DefaultParagraphFont">
    <w:name w:val="Default Paragraph Font"/>
    <w:qFormat/>
    <w:rPr/>
  </w:style>
  <w:style w:type="character" w:styleId="11">
    <w:name w:val="Заголовок 1 Знак"/>
    <w:basedOn w:val="DefaultParagraphFont"/>
    <w:qFormat/>
    <w:rPr>
      <w:rFonts w:ascii="Times New Roman" w:hAnsi="Times New Roman" w:eastAsia="Times New Roman" w:cs="Times New Roman"/>
      <w:b/>
      <w:bCs/>
      <w:kern w:val="2"/>
      <w:sz w:val="48"/>
      <w:szCs w:val="48"/>
      <w:lang w:eastAsia="ru-RU"/>
    </w:rPr>
  </w:style>
  <w:style w:type="character" w:styleId="31">
    <w:name w:val="Заголовок 3 Знак"/>
    <w:basedOn w:val="DefaultParagraphFont"/>
    <w:qFormat/>
    <w:rPr>
      <w:rFonts w:ascii="Times New Roman" w:hAnsi="Times New Roman" w:eastAsia="Times New Roman" w:cs="Times New Roman"/>
      <w:b/>
      <w:bCs/>
      <w:sz w:val="27"/>
      <w:szCs w:val="27"/>
      <w:lang w:eastAsia="ru-RU"/>
    </w:rPr>
  </w:style>
  <w:style w:type="character" w:styleId="61">
    <w:name w:val="Заголовок 6 Знак"/>
    <w:basedOn w:val="DefaultParagraphFont"/>
    <w:qFormat/>
    <w:rPr>
      <w:rFonts w:ascii="Times New Roman" w:hAnsi="Times New Roman" w:eastAsia="Times New Roman" w:cs="Times New Roman"/>
      <w:b/>
      <w:bCs/>
      <w:sz w:val="15"/>
      <w:szCs w:val="15"/>
      <w:lang w:eastAsia="ru-RU"/>
    </w:rPr>
  </w:style>
  <w:style w:type="character" w:styleId="Strong">
    <w:name w:val="Strong"/>
    <w:basedOn w:val="DefaultParagraphFont"/>
    <w:qFormat/>
    <w:rPr>
      <w:b/>
      <w:bCs/>
    </w:rPr>
  </w:style>
  <w:style w:type="character" w:styleId="Style11">
    <w:name w:val="Интернет-ссылка"/>
    <w:basedOn w:val="DefaultParagraphFont"/>
    <w:rPr>
      <w:color w:val="0000FF"/>
      <w:u w:val="single"/>
    </w:rPr>
  </w:style>
  <w:style w:type="character" w:styleId="Style12">
    <w:name w:val="Выделение"/>
    <w:basedOn w:val="DefaultParagraphFont"/>
    <w:qFormat/>
    <w:rPr>
      <w:i/>
      <w:iCs/>
    </w:rPr>
  </w:style>
  <w:style w:type="character" w:styleId="Style13">
    <w:name w:val="Текст выноски Знак"/>
    <w:basedOn w:val="DefaultParagraphFont"/>
    <w:qFormat/>
    <w:rPr>
      <w:rFonts w:ascii="Tahoma" w:hAnsi="Tahoma" w:cs="Tahoma"/>
      <w:sz w:val="16"/>
      <w:szCs w:val="16"/>
    </w:rPr>
  </w:style>
  <w:style w:type="character" w:styleId="ListLabel1">
    <w:name w:val="ListLabel 1"/>
    <w:qFormat/>
    <w:rPr>
      <w:rFonts w:ascii="Times New Roman" w:hAnsi="Times New Roman"/>
      <w:sz w:val="28"/>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New Roman" w:hAnsi="Times New Roman"/>
      <w:sz w:val="28"/>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BalloonText">
    <w:name w:val="Balloon Text"/>
    <w:basedOn w:val="Normal"/>
    <w:qFormat/>
    <w:pPr>
      <w:spacing w:lineRule="auto" w:line="240" w:before="0" w:after="0"/>
    </w:pPr>
    <w:rPr>
      <w:rFonts w:ascii="Tahoma" w:hAnsi="Tahoma" w:cs="Tahoma"/>
      <w:sz w:val="16"/>
      <w:szCs w:val="16"/>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TotalTime>
  <Application>LibreOffice/6.1.0.3$Windows_X86_64 LibreOffice_project/efb621ed25068d70781dc026f7e9c5187a4decd1</Application>
  <Pages>2</Pages>
  <Words>298</Words>
  <CharactersWithSpaces>2095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2020-12-11T08:50:00Z</dcterms:created>
  <dc:creator>Шутас Екатерина Викторовна</dc:creator>
  <dc:description/>
  <dc:language>ru-RU</dc:language>
  <cp:lastModifiedBy>Шутас Екатерина Викторовна</cp:lastModifiedBy>
  <dcterms:modified xsi:type="dcterms:W3CDTF">2020-12-14T08:45:00Z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