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06119" w14:textId="3BDB1399" w:rsidR="00E77597" w:rsidRPr="003A0D07" w:rsidRDefault="00B8051F" w:rsidP="00E775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3619">
        <w:rPr>
          <w:rFonts w:ascii="Times New Roman" w:hAnsi="Times New Roman" w:cs="Times New Roman"/>
          <w:b/>
          <w:sz w:val="26"/>
          <w:szCs w:val="26"/>
        </w:rPr>
        <w:tab/>
      </w:r>
      <w:r w:rsidR="006C57F0" w:rsidRPr="003A0D07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 w:rsidR="003B2645">
        <w:rPr>
          <w:rFonts w:ascii="Times New Roman" w:hAnsi="Times New Roman" w:cs="Times New Roman"/>
          <w:b/>
          <w:sz w:val="26"/>
          <w:szCs w:val="26"/>
        </w:rPr>
        <w:t>4</w:t>
      </w:r>
    </w:p>
    <w:p w14:paraId="2A29EB34" w14:textId="77777777" w:rsidR="00E77597" w:rsidRPr="003A0D07" w:rsidRDefault="00E77597" w:rsidP="00E775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D07">
        <w:rPr>
          <w:rFonts w:ascii="Times New Roman" w:hAnsi="Times New Roman" w:cs="Times New Roman"/>
          <w:b/>
          <w:sz w:val="26"/>
          <w:szCs w:val="26"/>
        </w:rPr>
        <w:t xml:space="preserve">заседания Координационного совета по поддержке и содействию в развитии малого </w:t>
      </w:r>
      <w:r w:rsidR="00754659" w:rsidRPr="003A0D07">
        <w:rPr>
          <w:rFonts w:ascii="Times New Roman" w:hAnsi="Times New Roman" w:cs="Times New Roman"/>
          <w:b/>
          <w:sz w:val="26"/>
          <w:szCs w:val="26"/>
        </w:rPr>
        <w:t xml:space="preserve">и среднего </w:t>
      </w:r>
      <w:r w:rsidRPr="003A0D07">
        <w:rPr>
          <w:rFonts w:ascii="Times New Roman" w:hAnsi="Times New Roman" w:cs="Times New Roman"/>
          <w:b/>
          <w:sz w:val="26"/>
          <w:szCs w:val="26"/>
        </w:rPr>
        <w:t>предпринимательства при администрации муниципального образования Дубенский район</w:t>
      </w:r>
    </w:p>
    <w:p w14:paraId="2530EBAE" w14:textId="77777777" w:rsidR="00E77597" w:rsidRPr="003A0D07" w:rsidRDefault="00E77597" w:rsidP="00E775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CE381E" w14:textId="77777777" w:rsidR="00E77597" w:rsidRPr="003A0D07" w:rsidRDefault="00E77597" w:rsidP="00E775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4BC2CB" w14:textId="1B33175A" w:rsidR="00E77597" w:rsidRPr="003A0D07" w:rsidRDefault="00467725" w:rsidP="00E7759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19</w:t>
      </w:r>
      <w:r w:rsidR="00E77597" w:rsidRPr="003A0D0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12</w:t>
      </w:r>
      <w:r w:rsidR="00E77597" w:rsidRPr="003A0D07">
        <w:rPr>
          <w:rFonts w:ascii="Times New Roman" w:hAnsi="Times New Roman" w:cs="Times New Roman"/>
          <w:b/>
          <w:sz w:val="26"/>
          <w:szCs w:val="26"/>
        </w:rPr>
        <w:t>.20</w:t>
      </w:r>
      <w:r w:rsidR="00984E0A" w:rsidRPr="003A0D07">
        <w:rPr>
          <w:rFonts w:ascii="Times New Roman" w:hAnsi="Times New Roman" w:cs="Times New Roman"/>
          <w:b/>
          <w:sz w:val="26"/>
          <w:szCs w:val="26"/>
        </w:rPr>
        <w:t>2</w:t>
      </w:r>
      <w:r w:rsidR="00D3054C">
        <w:rPr>
          <w:rFonts w:ascii="Times New Roman" w:hAnsi="Times New Roman" w:cs="Times New Roman"/>
          <w:b/>
          <w:sz w:val="26"/>
          <w:szCs w:val="26"/>
        </w:rPr>
        <w:t>4</w:t>
      </w:r>
      <w:r w:rsidR="00E77597" w:rsidRPr="003A0D07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E77597" w:rsidRPr="003A0D07">
        <w:rPr>
          <w:rFonts w:ascii="Times New Roman" w:hAnsi="Times New Roman" w:cs="Times New Roman"/>
          <w:b/>
          <w:sz w:val="26"/>
          <w:szCs w:val="26"/>
        </w:rPr>
        <w:tab/>
      </w:r>
      <w:r w:rsidR="00E77597" w:rsidRPr="003A0D07">
        <w:rPr>
          <w:rFonts w:ascii="Times New Roman" w:hAnsi="Times New Roman" w:cs="Times New Roman"/>
          <w:b/>
          <w:sz w:val="26"/>
          <w:szCs w:val="26"/>
        </w:rPr>
        <w:tab/>
      </w:r>
      <w:r w:rsidR="00E77597" w:rsidRPr="003A0D07">
        <w:rPr>
          <w:rFonts w:ascii="Times New Roman" w:hAnsi="Times New Roman" w:cs="Times New Roman"/>
          <w:b/>
          <w:sz w:val="26"/>
          <w:szCs w:val="26"/>
        </w:rPr>
        <w:tab/>
      </w:r>
      <w:r w:rsidR="00E77597" w:rsidRPr="003A0D07">
        <w:rPr>
          <w:rFonts w:ascii="Times New Roman" w:hAnsi="Times New Roman" w:cs="Times New Roman"/>
          <w:b/>
          <w:sz w:val="26"/>
          <w:szCs w:val="26"/>
        </w:rPr>
        <w:tab/>
      </w:r>
      <w:r w:rsidR="00E77597" w:rsidRPr="003A0D07">
        <w:rPr>
          <w:rFonts w:ascii="Times New Roman" w:hAnsi="Times New Roman" w:cs="Times New Roman"/>
          <w:b/>
          <w:sz w:val="26"/>
          <w:szCs w:val="26"/>
        </w:rPr>
        <w:tab/>
      </w:r>
      <w:r w:rsidR="00E77597" w:rsidRPr="003A0D07">
        <w:rPr>
          <w:rFonts w:ascii="Times New Roman" w:hAnsi="Times New Roman" w:cs="Times New Roman"/>
          <w:b/>
          <w:sz w:val="26"/>
          <w:szCs w:val="26"/>
        </w:rPr>
        <w:tab/>
      </w:r>
      <w:r w:rsidR="00E77597" w:rsidRPr="003A0D07">
        <w:rPr>
          <w:rFonts w:ascii="Times New Roman" w:hAnsi="Times New Roman" w:cs="Times New Roman"/>
          <w:b/>
          <w:sz w:val="26"/>
          <w:szCs w:val="26"/>
        </w:rPr>
        <w:tab/>
        <w:t xml:space="preserve">           </w:t>
      </w:r>
      <w:r w:rsidR="00754659" w:rsidRPr="003A0D07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E77597" w:rsidRPr="003A0D07">
        <w:rPr>
          <w:rFonts w:ascii="Times New Roman" w:hAnsi="Times New Roman" w:cs="Times New Roman"/>
          <w:b/>
          <w:sz w:val="26"/>
          <w:szCs w:val="26"/>
        </w:rPr>
        <w:t xml:space="preserve">     п. Дубна</w:t>
      </w:r>
    </w:p>
    <w:p w14:paraId="0F7CD52B" w14:textId="77777777" w:rsidR="00E77597" w:rsidRPr="003A0D07" w:rsidRDefault="00E77597" w:rsidP="00E775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D07">
        <w:rPr>
          <w:rFonts w:ascii="Times New Roman" w:hAnsi="Times New Roman" w:cs="Times New Roman"/>
          <w:b/>
          <w:sz w:val="26"/>
          <w:szCs w:val="26"/>
        </w:rPr>
        <w:t xml:space="preserve">ПРЕДСЕДАТЕЛЬСТВОВАЛ: </w:t>
      </w:r>
    </w:p>
    <w:p w14:paraId="430A89EB" w14:textId="77777777" w:rsidR="00C55E75" w:rsidRPr="003A0D07" w:rsidRDefault="00C55E75" w:rsidP="00C55E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D07">
        <w:rPr>
          <w:rFonts w:ascii="Times New Roman" w:hAnsi="Times New Roman" w:cs="Times New Roman"/>
          <w:b/>
          <w:sz w:val="26"/>
          <w:szCs w:val="26"/>
        </w:rPr>
        <w:t>Гузов К.О.</w:t>
      </w:r>
      <w:r w:rsidR="002278C1" w:rsidRPr="003A0D07">
        <w:rPr>
          <w:rFonts w:ascii="Times New Roman" w:hAnsi="Times New Roman" w:cs="Times New Roman"/>
          <w:b/>
          <w:sz w:val="26"/>
          <w:szCs w:val="26"/>
        </w:rPr>
        <w:t xml:space="preserve">, глава администрации муниципального </w:t>
      </w:r>
    </w:p>
    <w:p w14:paraId="0659D829" w14:textId="77777777" w:rsidR="00E77597" w:rsidRPr="003A0D07" w:rsidRDefault="002278C1" w:rsidP="00C55E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D07">
        <w:rPr>
          <w:rFonts w:ascii="Times New Roman" w:hAnsi="Times New Roman" w:cs="Times New Roman"/>
          <w:b/>
          <w:sz w:val="26"/>
          <w:szCs w:val="26"/>
        </w:rPr>
        <w:t xml:space="preserve">образования Дубенский район, </w:t>
      </w:r>
      <w:r w:rsidR="00754659" w:rsidRPr="003A0D07">
        <w:rPr>
          <w:rFonts w:ascii="Times New Roman" w:hAnsi="Times New Roman" w:cs="Times New Roman"/>
          <w:b/>
          <w:sz w:val="26"/>
          <w:szCs w:val="26"/>
        </w:rPr>
        <w:t>председатель Координационного совета</w:t>
      </w:r>
    </w:p>
    <w:p w14:paraId="3FC663ED" w14:textId="77777777" w:rsidR="00E77597" w:rsidRPr="003A0D07" w:rsidRDefault="00E77597" w:rsidP="00E7759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8F45C6E" w14:textId="77777777" w:rsidR="00E77597" w:rsidRPr="003A0D07" w:rsidRDefault="00E77597" w:rsidP="00E775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0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Присутствовали:</w:t>
      </w:r>
    </w:p>
    <w:p w14:paraId="118ABFEE" w14:textId="77777777" w:rsidR="004D0143" w:rsidRPr="003A0D07" w:rsidRDefault="00754659" w:rsidP="004D014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Члены </w:t>
      </w:r>
      <w:r w:rsidR="00E77597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>Координационн</w:t>
      </w:r>
      <w:r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E77597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совет</w:t>
      </w:r>
      <w:r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E77597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составе </w:t>
      </w:r>
      <w:r w:rsidR="00AC71A1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C6446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>0 человек,</w:t>
      </w:r>
      <w:r w:rsidR="00EC6446" w:rsidRPr="003A0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3A0D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что </w:t>
      </w:r>
      <w:proofErr w:type="gramStart"/>
      <w:r w:rsidRPr="003A0D07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составляет  66</w:t>
      </w:r>
      <w:proofErr w:type="gramEnd"/>
      <w:r w:rsidRPr="003A0D07">
        <w:rPr>
          <w:rFonts w:ascii="Times New Roman" w:eastAsia="Times New Roman" w:hAnsi="Times New Roman" w:cs="Times New Roman"/>
          <w:color w:val="000000"/>
          <w:sz w:val="26"/>
          <w:szCs w:val="26"/>
        </w:rPr>
        <w:t>,6</w:t>
      </w:r>
      <w:r w:rsidR="00EC6446" w:rsidRPr="003A0D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0D07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 w:rsidR="00EC6446" w:rsidRPr="003A0D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общего числа ее членов. Заседание Совета</w:t>
      </w:r>
      <w:r w:rsidRPr="003A0D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считается правомочным.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4931"/>
      </w:tblGrid>
      <w:tr w:rsidR="00E77597" w:rsidRPr="003A0D07" w14:paraId="7900F9D5" w14:textId="77777777" w:rsidTr="004D0143">
        <w:tc>
          <w:tcPr>
            <w:tcW w:w="4503" w:type="dxa"/>
          </w:tcPr>
          <w:p w14:paraId="12F1CA61" w14:textId="77777777" w:rsidR="00E77597" w:rsidRPr="003A0D07" w:rsidRDefault="004D0143" w:rsidP="00BD5A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0D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Заместитель председателя Координационного совета</w:t>
            </w:r>
          </w:p>
          <w:p w14:paraId="60EDB890" w14:textId="77777777" w:rsidR="004D0143" w:rsidRPr="003A0D07" w:rsidRDefault="004D0143" w:rsidP="00BD5A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068" w:type="dxa"/>
          </w:tcPr>
          <w:p w14:paraId="1ACE578A" w14:textId="77777777" w:rsidR="004D0143" w:rsidRPr="003A0D07" w:rsidRDefault="004D0143" w:rsidP="00BD5AE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Москаленко Т.А.</w:t>
            </w:r>
          </w:p>
        </w:tc>
      </w:tr>
      <w:tr w:rsidR="004D0143" w:rsidRPr="003A0D07" w14:paraId="13D79C24" w14:textId="77777777" w:rsidTr="004D0143">
        <w:tc>
          <w:tcPr>
            <w:tcW w:w="4503" w:type="dxa"/>
          </w:tcPr>
          <w:p w14:paraId="357D6321" w14:textId="77777777" w:rsidR="004D0143" w:rsidRPr="003A0D07" w:rsidRDefault="004D0143" w:rsidP="004D01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0D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Секретарь Координационного совета</w:t>
            </w:r>
          </w:p>
          <w:p w14:paraId="2650C17B" w14:textId="77777777" w:rsidR="004D0143" w:rsidRPr="003A0D07" w:rsidRDefault="004D0143" w:rsidP="004D01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068" w:type="dxa"/>
          </w:tcPr>
          <w:p w14:paraId="031B5305" w14:textId="77777777" w:rsidR="004D0143" w:rsidRPr="003A0D07" w:rsidRDefault="00F50A54" w:rsidP="004D014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Говорова Е.В.</w:t>
            </w:r>
          </w:p>
          <w:p w14:paraId="4A4C974B" w14:textId="77777777" w:rsidR="004D0143" w:rsidRPr="003A0D07" w:rsidRDefault="004D0143" w:rsidP="004D014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7550617" w14:textId="77777777" w:rsidR="004D0143" w:rsidRPr="003A0D07" w:rsidRDefault="004D0143" w:rsidP="004D014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D0143" w:rsidRPr="003A0D07" w14:paraId="4F4649AC" w14:textId="77777777" w:rsidTr="004D0143">
        <w:tc>
          <w:tcPr>
            <w:tcW w:w="4503" w:type="dxa"/>
          </w:tcPr>
          <w:p w14:paraId="518DC740" w14:textId="77777777" w:rsidR="004D0143" w:rsidRPr="003A0D07" w:rsidRDefault="004D0143" w:rsidP="004D01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0D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Члены Координационного совета </w:t>
            </w:r>
          </w:p>
        </w:tc>
        <w:tc>
          <w:tcPr>
            <w:tcW w:w="5068" w:type="dxa"/>
          </w:tcPr>
          <w:p w14:paraId="76199A6D" w14:textId="1399937A" w:rsidR="004D0143" w:rsidRPr="003A0D07" w:rsidRDefault="00467725" w:rsidP="0046772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Князькова Е.В.</w:t>
            </w:r>
            <w:r w:rsidR="004D0143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D3054C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Васюкова</w:t>
            </w:r>
            <w:r w:rsidR="004D0143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Т.Н.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4D0143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Хвостов Ю.В.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4D0143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Овчаренко А.Е.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4D0143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Антонова Е.В., Тимонина С.А.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4D0143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Дюкова </w:t>
            </w: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Е. В.</w:t>
            </w:r>
            <w:r w:rsidR="00D3054C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Косенко</w:t>
            </w:r>
            <w:r w:rsidR="004D0143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С.А.</w:t>
            </w:r>
          </w:p>
        </w:tc>
      </w:tr>
    </w:tbl>
    <w:p w14:paraId="568531E9" w14:textId="77777777" w:rsidR="00E77597" w:rsidRPr="003A0D07" w:rsidRDefault="00E77597" w:rsidP="00E775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3A0D07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Приглашенные: </w:t>
      </w:r>
    </w:p>
    <w:p w14:paraId="4ED89D19" w14:textId="77777777" w:rsidR="00E77597" w:rsidRPr="003A0D07" w:rsidRDefault="00E77597" w:rsidP="00E775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6"/>
      </w:tblGrid>
      <w:tr w:rsidR="00325504" w:rsidRPr="003A0D07" w14:paraId="73A7CBE9" w14:textId="77777777" w:rsidTr="00BD5AE9">
        <w:tc>
          <w:tcPr>
            <w:tcW w:w="4503" w:type="dxa"/>
          </w:tcPr>
          <w:p w14:paraId="331713A9" w14:textId="77777777" w:rsidR="00E77597" w:rsidRPr="003A0D07" w:rsidRDefault="00E77597" w:rsidP="00BD5AE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0D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Представители малого и среднего предпринимательства Дубенского района</w:t>
            </w:r>
          </w:p>
        </w:tc>
        <w:tc>
          <w:tcPr>
            <w:tcW w:w="4786" w:type="dxa"/>
          </w:tcPr>
          <w:p w14:paraId="175A0613" w14:textId="51076AB8" w:rsidR="00451E0A" w:rsidRPr="00DE5F9B" w:rsidRDefault="00C55E75" w:rsidP="008A3F9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BFBFB"/>
              </w:rPr>
            </w:pP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Председатель Дубенского районного потребительского общества</w:t>
            </w:r>
            <w:r w:rsidR="002278C1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278C1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Ефремкина</w:t>
            </w:r>
            <w:proofErr w:type="spellEnd"/>
            <w:r w:rsidR="0017738B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Н.В., ИП </w:t>
            </w:r>
            <w:r w:rsidR="00D30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Мошкина С.Н.,</w:t>
            </w: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55F39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ИП Казанцева С.Е.,</w:t>
            </w:r>
            <w:r w:rsidR="00D30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55F39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ИП Попова Е.В., ООО «</w:t>
            </w:r>
            <w:proofErr w:type="spellStart"/>
            <w:r w:rsidR="00D30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Мосагропром</w:t>
            </w:r>
            <w:proofErr w:type="spellEnd"/>
            <w:r w:rsidR="00D30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директор </w:t>
            </w:r>
            <w:proofErr w:type="spellStart"/>
            <w:r w:rsidR="00D30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Ермураки</w:t>
            </w:r>
            <w:proofErr w:type="spellEnd"/>
            <w:r w:rsidR="00D30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И.В.,</w:t>
            </w: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C1517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ИП </w:t>
            </w:r>
            <w:r w:rsidR="00155F39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Глотова А.В,</w:t>
            </w: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55F39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ИП Митрошкина С.А.,</w:t>
            </w: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ИП Алешин М.Б.</w:t>
            </w:r>
            <w:r w:rsidR="00155F39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ИП Бублик Т.С., ИП Шувалова Г.И.</w:t>
            </w:r>
            <w:r w:rsidR="00A422FB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ИП Панченко И.А., ИП </w:t>
            </w:r>
            <w:r w:rsidR="00D30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Горшкова Н.В</w:t>
            </w:r>
            <w:r w:rsidR="00A422FB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.,</w:t>
            </w:r>
            <w:r w:rsidR="008A3F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</w:t>
            </w:r>
            <w:r w:rsidR="00A422FB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="0017738B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 </w:t>
            </w:r>
            <w:r w:rsidR="00A422FB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Дмитриева</w:t>
            </w:r>
            <w:r w:rsidR="008A3F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A422FB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</w:t>
            </w:r>
            <w:r w:rsidR="00AC1517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9228B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В.</w:t>
            </w:r>
            <w:r w:rsidR="008A3F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E24752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ИП</w:t>
            </w:r>
            <w:r w:rsidR="008A3F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Чекрыгина Г.В., </w:t>
            </w:r>
            <w:r w:rsidR="004734D1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BFBFB"/>
              </w:rPr>
              <w:t>ИП Наумов С.И.</w:t>
            </w:r>
            <w:r w:rsidR="0046772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BFBFB"/>
              </w:rPr>
              <w:t>, Попов В.А., Махачев М.И. ИП  Князев М.</w:t>
            </w:r>
            <w:r w:rsidR="00DE5F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BFBFB"/>
              </w:rPr>
              <w:t>В.</w:t>
            </w:r>
          </w:p>
        </w:tc>
      </w:tr>
      <w:tr w:rsidR="008A3F9A" w:rsidRPr="003A0D07" w14:paraId="35B61EB6" w14:textId="77777777" w:rsidTr="00BD5AE9">
        <w:tc>
          <w:tcPr>
            <w:tcW w:w="4503" w:type="dxa"/>
          </w:tcPr>
          <w:p w14:paraId="2011C15E" w14:textId="77777777" w:rsidR="008A3F9A" w:rsidRPr="003A0D07" w:rsidRDefault="008A3F9A" w:rsidP="00BD5AE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86" w:type="dxa"/>
          </w:tcPr>
          <w:p w14:paraId="6433E3C6" w14:textId="77777777" w:rsidR="008A3F9A" w:rsidRPr="003A0D07" w:rsidRDefault="008A3F9A" w:rsidP="00C55E7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07468EA7" w14:textId="77777777" w:rsidR="00E77597" w:rsidRPr="003A0D07" w:rsidRDefault="00E77597" w:rsidP="00E7759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0BC20956" w14:textId="77777777" w:rsidR="003A0D07" w:rsidRPr="003A0D07" w:rsidRDefault="003A0D07" w:rsidP="00E7759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73682B7F" w14:textId="77777777" w:rsidR="003A0D07" w:rsidRPr="003A0D07" w:rsidRDefault="003A0D07" w:rsidP="00E7759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05569256" w14:textId="621DAA1A" w:rsidR="00FC475A" w:rsidRPr="00467725" w:rsidRDefault="00FC475A" w:rsidP="00FC475A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7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изменениях налогового законодательства с 2025 года</w:t>
      </w:r>
    </w:p>
    <w:tbl>
      <w:tblPr>
        <w:tblStyle w:val="a4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25504" w:rsidRPr="003A0D07" w14:paraId="5FFFAFDC" w14:textId="77777777" w:rsidTr="00FC475A">
        <w:tc>
          <w:tcPr>
            <w:tcW w:w="9355" w:type="dxa"/>
          </w:tcPr>
          <w:p w14:paraId="2BE55B3C" w14:textId="4109182E" w:rsidR="00E77597" w:rsidRPr="003A0D07" w:rsidRDefault="002B7661" w:rsidP="00BD5A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FC47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Москаленко Т.А.</w:t>
            </w: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14:paraId="18E9E4EA" w14:textId="77777777" w:rsidR="00E76E5C" w:rsidRPr="003A0D07" w:rsidRDefault="00E76E5C" w:rsidP="00BD5A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5C29C5B1" w14:textId="18242FD1" w:rsidR="00FC475A" w:rsidRPr="00FC475A" w:rsidRDefault="00FC475A" w:rsidP="0046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7725"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Слушали</w:t>
      </w:r>
      <w:r w:rsidRPr="00DE705B">
        <w:rPr>
          <w:rFonts w:ascii="Open Sans" w:eastAsia="Times New Roman" w:hAnsi="Open Sans" w:cs="Open Sans"/>
          <w:b/>
          <w:bCs/>
          <w:color w:val="405965"/>
          <w:sz w:val="24"/>
          <w:szCs w:val="24"/>
        </w:rPr>
        <w:t>:</w:t>
      </w:r>
      <w:r>
        <w:rPr>
          <w:rFonts w:ascii="Open Sans" w:eastAsia="Times New Roman" w:hAnsi="Open Sans" w:cs="Open Sans"/>
          <w:color w:val="405965"/>
          <w:sz w:val="24"/>
          <w:szCs w:val="24"/>
        </w:rPr>
        <w:t xml:space="preserve"> </w:t>
      </w:r>
      <w:r w:rsidR="00DE705B" w:rsidRPr="00DE705B">
        <w:rPr>
          <w:rFonts w:ascii="Times New Roman" w:eastAsia="Times New Roman" w:hAnsi="Times New Roman" w:cs="Times New Roman"/>
          <w:sz w:val="28"/>
          <w:szCs w:val="28"/>
        </w:rPr>
        <w:t>Москаленко Т.А.</w:t>
      </w:r>
      <w:r w:rsidRPr="00DE705B">
        <w:rPr>
          <w:rFonts w:ascii="Times New Roman" w:eastAsia="Times New Roman" w:hAnsi="Times New Roman" w:cs="Times New Roman"/>
          <w:sz w:val="28"/>
          <w:szCs w:val="28"/>
        </w:rPr>
        <w:t xml:space="preserve">, начальника отдела экономического развития, предпринимательства и сельского хозяйства, </w:t>
      </w:r>
      <w:r w:rsidRPr="00FC475A">
        <w:rPr>
          <w:rFonts w:ascii="Times New Roman" w:eastAsia="Times New Roman" w:hAnsi="Times New Roman" w:cs="Times New Roman"/>
          <w:sz w:val="28"/>
          <w:szCs w:val="28"/>
        </w:rPr>
        <w:t>котор</w:t>
      </w:r>
      <w:r w:rsidRPr="00DE705B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FC475A">
        <w:rPr>
          <w:rFonts w:ascii="Times New Roman" w:eastAsia="Times New Roman" w:hAnsi="Times New Roman" w:cs="Times New Roman"/>
          <w:sz w:val="28"/>
          <w:szCs w:val="28"/>
        </w:rPr>
        <w:t xml:space="preserve"> расс</w:t>
      </w:r>
      <w:r w:rsidRPr="00DE705B">
        <w:rPr>
          <w:rFonts w:ascii="Times New Roman" w:eastAsia="Times New Roman" w:hAnsi="Times New Roman" w:cs="Times New Roman"/>
          <w:sz w:val="28"/>
          <w:szCs w:val="28"/>
        </w:rPr>
        <w:t xml:space="preserve">казала </w:t>
      </w:r>
      <w:r w:rsidR="00467725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FC475A">
        <w:rPr>
          <w:rFonts w:ascii="Times New Roman" w:eastAsia="Times New Roman" w:hAnsi="Times New Roman" w:cs="Times New Roman"/>
          <w:sz w:val="28"/>
          <w:szCs w:val="28"/>
        </w:rPr>
        <w:t>основны</w:t>
      </w:r>
      <w:r w:rsidR="0046772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C4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75A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изменения</w:t>
      </w:r>
      <w:r w:rsidR="0046772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C475A">
        <w:rPr>
          <w:rFonts w:ascii="Times New Roman" w:eastAsia="Times New Roman" w:hAnsi="Times New Roman" w:cs="Times New Roman"/>
          <w:sz w:val="28"/>
          <w:szCs w:val="28"/>
        </w:rPr>
        <w:t xml:space="preserve"> налогового законодательства, </w:t>
      </w:r>
      <w:r w:rsidRPr="00DE705B">
        <w:rPr>
          <w:rFonts w:ascii="Times New Roman" w:eastAsia="Times New Roman" w:hAnsi="Times New Roman" w:cs="Times New Roman"/>
          <w:sz w:val="28"/>
          <w:szCs w:val="28"/>
        </w:rPr>
        <w:t>вступающи</w:t>
      </w:r>
      <w:r w:rsidR="0046772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E705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FC475A">
        <w:rPr>
          <w:rFonts w:ascii="Times New Roman" w:eastAsia="Times New Roman" w:hAnsi="Times New Roman" w:cs="Times New Roman"/>
          <w:sz w:val="28"/>
          <w:szCs w:val="28"/>
        </w:rPr>
        <w:t>действ</w:t>
      </w:r>
      <w:r w:rsidRPr="00DE705B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FC475A">
        <w:rPr>
          <w:rFonts w:ascii="Times New Roman" w:eastAsia="Times New Roman" w:hAnsi="Times New Roman" w:cs="Times New Roman"/>
          <w:sz w:val="28"/>
          <w:szCs w:val="28"/>
        </w:rPr>
        <w:t xml:space="preserve"> с 1 января 2025 года.</w:t>
      </w:r>
    </w:p>
    <w:p w14:paraId="4991FA35" w14:textId="65C2EB35" w:rsidR="00FC475A" w:rsidRPr="00FC475A" w:rsidRDefault="00FC475A" w:rsidP="00467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5A">
        <w:rPr>
          <w:rFonts w:ascii="Times New Roman" w:eastAsia="Times New Roman" w:hAnsi="Times New Roman" w:cs="Times New Roman"/>
          <w:color w:val="405965"/>
          <w:sz w:val="28"/>
          <w:szCs w:val="28"/>
        </w:rPr>
        <w:t> </w:t>
      </w:r>
      <w:r w:rsidR="00467725">
        <w:rPr>
          <w:rFonts w:ascii="Times New Roman" w:eastAsia="Times New Roman" w:hAnsi="Times New Roman" w:cs="Times New Roman"/>
          <w:color w:val="405965"/>
          <w:sz w:val="28"/>
          <w:szCs w:val="28"/>
        </w:rPr>
        <w:tab/>
      </w:r>
      <w:hyperlink r:id="rId5" w:history="1">
        <w:r w:rsidRPr="00FC475A">
          <w:rPr>
            <w:rFonts w:ascii="Times New Roman" w:eastAsia="Times New Roman" w:hAnsi="Times New Roman" w:cs="Times New Roman"/>
            <w:sz w:val="28"/>
            <w:szCs w:val="28"/>
          </w:rPr>
          <w:t>Законом Тульской области от 29.11.2024 № 113-ЗТО</w:t>
        </w:r>
      </w:hyperlink>
      <w:r w:rsidRPr="00FC475A">
        <w:rPr>
          <w:rFonts w:ascii="Times New Roman" w:eastAsia="Times New Roman" w:hAnsi="Times New Roman" w:cs="Times New Roman"/>
          <w:color w:val="405965"/>
          <w:sz w:val="28"/>
          <w:szCs w:val="28"/>
        </w:rPr>
        <w:t> </w:t>
      </w:r>
      <w:r w:rsidRPr="00FC475A">
        <w:rPr>
          <w:rFonts w:ascii="Times New Roman" w:eastAsia="Times New Roman" w:hAnsi="Times New Roman" w:cs="Times New Roman"/>
          <w:sz w:val="28"/>
          <w:szCs w:val="28"/>
        </w:rPr>
        <w:t>на территории региона с</w:t>
      </w:r>
      <w:r w:rsidRPr="00FC475A">
        <w:rPr>
          <w:rFonts w:ascii="Times New Roman" w:eastAsia="Times New Roman" w:hAnsi="Times New Roman" w:cs="Times New Roman"/>
          <w:color w:val="405965"/>
          <w:sz w:val="28"/>
          <w:szCs w:val="28"/>
        </w:rPr>
        <w:t xml:space="preserve"> </w:t>
      </w:r>
      <w:r w:rsidRPr="00FC475A">
        <w:rPr>
          <w:rFonts w:ascii="Times New Roman" w:eastAsia="Times New Roman" w:hAnsi="Times New Roman" w:cs="Times New Roman"/>
          <w:sz w:val="28"/>
          <w:szCs w:val="28"/>
        </w:rPr>
        <w:t xml:space="preserve">1 января 2025 года </w:t>
      </w:r>
      <w:r w:rsidRPr="00DE705B">
        <w:rPr>
          <w:rFonts w:ascii="Times New Roman" w:eastAsia="Times New Roman" w:hAnsi="Times New Roman" w:cs="Times New Roman"/>
          <w:sz w:val="28"/>
          <w:szCs w:val="28"/>
        </w:rPr>
        <w:t xml:space="preserve">вводится </w:t>
      </w:r>
      <w:r w:rsidRPr="00FC475A">
        <w:rPr>
          <w:rFonts w:ascii="Times New Roman" w:eastAsia="Times New Roman" w:hAnsi="Times New Roman" w:cs="Times New Roman"/>
          <w:sz w:val="28"/>
          <w:szCs w:val="28"/>
        </w:rPr>
        <w:t>специальн</w:t>
      </w:r>
      <w:r w:rsidRPr="00DE705B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FC475A">
        <w:rPr>
          <w:rFonts w:ascii="Times New Roman" w:eastAsia="Times New Roman" w:hAnsi="Times New Roman" w:cs="Times New Roman"/>
          <w:sz w:val="28"/>
          <w:szCs w:val="28"/>
        </w:rPr>
        <w:t xml:space="preserve"> налогов</w:t>
      </w:r>
      <w:r w:rsidRPr="00DE705B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FC475A">
        <w:rPr>
          <w:rFonts w:ascii="Times New Roman" w:eastAsia="Times New Roman" w:hAnsi="Times New Roman" w:cs="Times New Roman"/>
          <w:sz w:val="28"/>
          <w:szCs w:val="28"/>
        </w:rPr>
        <w:t xml:space="preserve"> режи</w:t>
      </w:r>
      <w:r w:rsidRPr="00DE705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C475A">
        <w:rPr>
          <w:rFonts w:ascii="Times New Roman" w:eastAsia="Times New Roman" w:hAnsi="Times New Roman" w:cs="Times New Roman"/>
          <w:sz w:val="28"/>
          <w:szCs w:val="28"/>
        </w:rPr>
        <w:t xml:space="preserve"> «Автоматизированная упрощенная система налогообложения» (</w:t>
      </w:r>
      <w:proofErr w:type="spellStart"/>
      <w:r w:rsidRPr="00FC475A">
        <w:rPr>
          <w:rFonts w:ascii="Times New Roman" w:eastAsia="Times New Roman" w:hAnsi="Times New Roman" w:cs="Times New Roman"/>
          <w:sz w:val="28"/>
          <w:szCs w:val="28"/>
        </w:rPr>
        <w:t>автоУСН</w:t>
      </w:r>
      <w:proofErr w:type="spellEnd"/>
      <w:r w:rsidRPr="00FC475A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038941B" w14:textId="36D823DF" w:rsidR="00FC475A" w:rsidRPr="00FC475A" w:rsidRDefault="00FC475A" w:rsidP="00DE7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05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C475A">
        <w:rPr>
          <w:rFonts w:ascii="Times New Roman" w:eastAsia="Times New Roman" w:hAnsi="Times New Roman" w:cs="Times New Roman"/>
          <w:sz w:val="28"/>
          <w:szCs w:val="28"/>
        </w:rPr>
        <w:t xml:space="preserve">ерейти на </w:t>
      </w:r>
      <w:proofErr w:type="spellStart"/>
      <w:r w:rsidRPr="00FC475A">
        <w:rPr>
          <w:rFonts w:ascii="Times New Roman" w:eastAsia="Times New Roman" w:hAnsi="Times New Roman" w:cs="Times New Roman"/>
          <w:sz w:val="28"/>
          <w:szCs w:val="28"/>
        </w:rPr>
        <w:t>автоУСН</w:t>
      </w:r>
      <w:proofErr w:type="spellEnd"/>
      <w:r w:rsidRPr="00FC475A">
        <w:rPr>
          <w:rFonts w:ascii="Times New Roman" w:eastAsia="Times New Roman" w:hAnsi="Times New Roman" w:cs="Times New Roman"/>
          <w:sz w:val="28"/>
          <w:szCs w:val="28"/>
        </w:rPr>
        <w:t xml:space="preserve"> и применять этот спец</w:t>
      </w:r>
      <w:r w:rsidRPr="00DE705B">
        <w:rPr>
          <w:rFonts w:ascii="Times New Roman" w:eastAsia="Times New Roman" w:hAnsi="Times New Roman" w:cs="Times New Roman"/>
          <w:sz w:val="28"/>
          <w:szCs w:val="28"/>
        </w:rPr>
        <w:t xml:space="preserve">иальный </w:t>
      </w:r>
      <w:r w:rsidRPr="00FC475A">
        <w:rPr>
          <w:rFonts w:ascii="Times New Roman" w:eastAsia="Times New Roman" w:hAnsi="Times New Roman" w:cs="Times New Roman"/>
          <w:sz w:val="28"/>
          <w:szCs w:val="28"/>
        </w:rPr>
        <w:t>режим представители бизнеса могут при определенных условиях: если бизнес зарегистрирован на территории региона, численность работников не превышает пять человек, годовой доход не более 60 млн</w:t>
      </w:r>
      <w:r w:rsidRPr="00DE705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75A">
        <w:rPr>
          <w:rFonts w:ascii="Times New Roman" w:eastAsia="Times New Roman" w:hAnsi="Times New Roman" w:cs="Times New Roman"/>
          <w:sz w:val="28"/>
          <w:szCs w:val="28"/>
        </w:rPr>
        <w:t xml:space="preserve"> рублей в год и остаточная стоимость основных средств не превышает 150 млн рублей.</w:t>
      </w:r>
    </w:p>
    <w:p w14:paraId="159682EA" w14:textId="77777777" w:rsidR="00FC475A" w:rsidRPr="00FC475A" w:rsidRDefault="00FC475A" w:rsidP="00DE7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5A">
        <w:rPr>
          <w:rFonts w:ascii="Times New Roman" w:eastAsia="Times New Roman" w:hAnsi="Times New Roman" w:cs="Times New Roman"/>
          <w:sz w:val="28"/>
          <w:szCs w:val="28"/>
        </w:rPr>
        <w:t>Компания может выбрать объект налогообложения, с применением которого исчисляется налог:</w:t>
      </w:r>
    </w:p>
    <w:p w14:paraId="4A28F9D7" w14:textId="77777777" w:rsidR="00FC475A" w:rsidRPr="00FC475A" w:rsidRDefault="00FC475A" w:rsidP="00DE705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5A">
        <w:rPr>
          <w:rFonts w:ascii="Times New Roman" w:eastAsia="Times New Roman" w:hAnsi="Times New Roman" w:cs="Times New Roman"/>
          <w:sz w:val="28"/>
          <w:szCs w:val="28"/>
        </w:rPr>
        <w:t>«доходы» по ставке 8%;</w:t>
      </w:r>
    </w:p>
    <w:p w14:paraId="2105831B" w14:textId="77777777" w:rsidR="00FC475A" w:rsidRPr="00FC475A" w:rsidRDefault="00FC475A" w:rsidP="00DE705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5A">
        <w:rPr>
          <w:rFonts w:ascii="Times New Roman" w:eastAsia="Times New Roman" w:hAnsi="Times New Roman" w:cs="Times New Roman"/>
          <w:sz w:val="28"/>
          <w:szCs w:val="28"/>
        </w:rPr>
        <w:t>«доходы, уменьшенные на величину расходов» по ставке 20%. Минимальный налог в этом случае составляет 3% от доходов.</w:t>
      </w:r>
    </w:p>
    <w:p w14:paraId="6B83723B" w14:textId="6FE3F652" w:rsidR="00FC475A" w:rsidRPr="00FC475A" w:rsidRDefault="00FC475A" w:rsidP="00DE7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5A">
        <w:rPr>
          <w:rFonts w:ascii="Times New Roman" w:eastAsia="Times New Roman" w:hAnsi="Times New Roman" w:cs="Times New Roman"/>
          <w:sz w:val="28"/>
          <w:szCs w:val="28"/>
        </w:rPr>
        <w:t xml:space="preserve">«Налогоплательщики на </w:t>
      </w:r>
      <w:proofErr w:type="spellStart"/>
      <w:r w:rsidRPr="00FC475A">
        <w:rPr>
          <w:rFonts w:ascii="Times New Roman" w:eastAsia="Times New Roman" w:hAnsi="Times New Roman" w:cs="Times New Roman"/>
          <w:sz w:val="28"/>
          <w:szCs w:val="28"/>
        </w:rPr>
        <w:t>автоУСН</w:t>
      </w:r>
      <w:proofErr w:type="spellEnd"/>
      <w:r w:rsidRPr="00FC475A">
        <w:rPr>
          <w:rFonts w:ascii="Times New Roman" w:eastAsia="Times New Roman" w:hAnsi="Times New Roman" w:cs="Times New Roman"/>
          <w:sz w:val="28"/>
          <w:szCs w:val="28"/>
        </w:rPr>
        <w:t xml:space="preserve"> освобождаются от представления декларации по налогу, расчета по форме 6-НДФЛ, расчета по страховым взносам, персонифицированных сведений о физических лицах, сведений о начисленных взносах на страхование от несчастных случаев на производстве. Налогоплательщики освобождены от уплаты страховых взносов за работников, а также за себя как индивидуального предпринимателя. При этом формирование пенсионных прав и социальное страхование сохраняется за счет части от уплаченных налогов»</w:t>
      </w:r>
      <w:r w:rsidR="00DE705B" w:rsidRPr="00DE7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C22FF4" w14:textId="77777777" w:rsidR="00FC475A" w:rsidRPr="00FC475A" w:rsidRDefault="00FC475A" w:rsidP="00DE7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5A">
        <w:rPr>
          <w:rFonts w:ascii="Times New Roman" w:eastAsia="Times New Roman" w:hAnsi="Times New Roman" w:cs="Times New Roman"/>
          <w:sz w:val="28"/>
          <w:szCs w:val="28"/>
        </w:rPr>
        <w:t>Все доходы и расходы учитываются в электронном виде в </w:t>
      </w:r>
      <w:hyperlink r:id="rId6" w:history="1">
        <w:r w:rsidRPr="00FC475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Личном кабинете налогоплательщика</w:t>
        </w:r>
      </w:hyperlink>
      <w:r w:rsidRPr="00FC475A">
        <w:rPr>
          <w:rFonts w:ascii="Times New Roman" w:eastAsia="Times New Roman" w:hAnsi="Times New Roman" w:cs="Times New Roman"/>
          <w:sz w:val="28"/>
          <w:szCs w:val="28"/>
        </w:rPr>
        <w:t>. Оплачивать налог также можно онлайн по итогам каждого месяца. Налог уплачивается путем внесения единого налогового платежа.</w:t>
      </w:r>
    </w:p>
    <w:p w14:paraId="30B67A7C" w14:textId="7C6CD669" w:rsidR="00FC475A" w:rsidRPr="00DE705B" w:rsidRDefault="00DE705B" w:rsidP="00DE7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05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C475A" w:rsidRPr="00FC475A">
        <w:rPr>
          <w:rFonts w:ascii="Times New Roman" w:eastAsia="Times New Roman" w:hAnsi="Times New Roman" w:cs="Times New Roman"/>
          <w:sz w:val="28"/>
          <w:szCs w:val="28"/>
        </w:rPr>
        <w:t xml:space="preserve">одробная информация о применении режима </w:t>
      </w:r>
      <w:proofErr w:type="spellStart"/>
      <w:r w:rsidR="00FC475A" w:rsidRPr="00FC475A">
        <w:rPr>
          <w:rFonts w:ascii="Times New Roman" w:eastAsia="Times New Roman" w:hAnsi="Times New Roman" w:cs="Times New Roman"/>
          <w:sz w:val="28"/>
          <w:szCs w:val="28"/>
        </w:rPr>
        <w:t>автоУСН</w:t>
      </w:r>
      <w:proofErr w:type="spellEnd"/>
      <w:r w:rsidR="00FC475A" w:rsidRPr="00FC475A">
        <w:rPr>
          <w:rFonts w:ascii="Times New Roman" w:eastAsia="Times New Roman" w:hAnsi="Times New Roman" w:cs="Times New Roman"/>
          <w:sz w:val="28"/>
          <w:szCs w:val="28"/>
        </w:rPr>
        <w:t xml:space="preserve"> и перечне уполномоченных банков размещена на официальном сайте ФНС России на </w:t>
      </w:r>
      <w:proofErr w:type="spellStart"/>
      <w:r w:rsidR="00FC475A" w:rsidRPr="00FC475A">
        <w:rPr>
          <w:rFonts w:ascii="Times New Roman" w:eastAsia="Times New Roman" w:hAnsi="Times New Roman" w:cs="Times New Roman"/>
          <w:sz w:val="28"/>
          <w:szCs w:val="28"/>
        </w:rPr>
        <w:t>промостранице</w:t>
      </w:r>
      <w:proofErr w:type="spellEnd"/>
      <w:r w:rsidR="00FC475A" w:rsidRPr="00FC475A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history="1">
        <w:r w:rsidR="00FC475A" w:rsidRPr="00FC475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«АУСН»</w:t>
        </w:r>
      </w:hyperlink>
      <w:r w:rsidR="00FC475A" w:rsidRPr="00FC4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9821C9" w14:textId="77777777" w:rsidR="00DE705B" w:rsidRPr="00FC475A" w:rsidRDefault="00DE705B" w:rsidP="00DE7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</w:rPr>
      </w:pPr>
    </w:p>
    <w:p w14:paraId="6385AE87" w14:textId="3E37C116" w:rsidR="00FC475A" w:rsidRPr="00FC475A" w:rsidRDefault="00DE705B" w:rsidP="005F68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05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C475A" w:rsidRPr="00FC475A">
        <w:rPr>
          <w:rFonts w:ascii="Times New Roman" w:eastAsia="Times New Roman" w:hAnsi="Times New Roman" w:cs="Times New Roman"/>
          <w:sz w:val="28"/>
          <w:szCs w:val="28"/>
        </w:rPr>
        <w:t>зменения в части применения специальных налоговых режимов и уплаты НДС на УСН.</w:t>
      </w:r>
    </w:p>
    <w:p w14:paraId="1A8555D3" w14:textId="41B75E71" w:rsidR="00FC475A" w:rsidRPr="00FC475A" w:rsidRDefault="00FC475A" w:rsidP="005F68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88D">
        <w:rPr>
          <w:rFonts w:ascii="Times New Roman" w:eastAsia="Times New Roman" w:hAnsi="Times New Roman" w:cs="Times New Roman"/>
          <w:sz w:val="28"/>
          <w:szCs w:val="28"/>
        </w:rPr>
        <w:tab/>
      </w:r>
      <w:r w:rsidR="00DE705B" w:rsidRPr="00DE705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C475A">
        <w:rPr>
          <w:rFonts w:ascii="Times New Roman" w:eastAsia="Times New Roman" w:hAnsi="Times New Roman" w:cs="Times New Roman"/>
          <w:sz w:val="28"/>
          <w:szCs w:val="28"/>
        </w:rPr>
        <w:t>сли организация или индивидуальный предприниматель применяет упрощенную систему налогообложения и доходы за 2024 год не превышают 60 млн руб. включительно, то такая организация или индивидуальный предприниматель освобождается от исполнения обязанностей налогоплательщика НДС. Освобождение предоставляется автоматически, представление соответствующего уведомления не предусмотрено.</w:t>
      </w:r>
    </w:p>
    <w:p w14:paraId="083A3EE5" w14:textId="77777777" w:rsidR="00FC475A" w:rsidRPr="00FC475A" w:rsidRDefault="00FC475A" w:rsidP="00DE7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5A">
        <w:rPr>
          <w:rFonts w:ascii="Times New Roman" w:eastAsia="Times New Roman" w:hAnsi="Times New Roman" w:cs="Times New Roman"/>
          <w:sz w:val="28"/>
          <w:szCs w:val="28"/>
        </w:rPr>
        <w:t>Это касается также организаций и индивидуальных предпринимателей, применяющих упрощенную систему налогообложения, зарегистрированных после 1 января 2025 года (абз.6 п.1 ст.145 НК РФ).</w:t>
      </w:r>
    </w:p>
    <w:p w14:paraId="3D8B965B" w14:textId="77777777" w:rsidR="00FC475A" w:rsidRPr="00FC475A" w:rsidRDefault="00FC475A" w:rsidP="00DE7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5A">
        <w:rPr>
          <w:rFonts w:ascii="Times New Roman" w:eastAsia="Times New Roman" w:hAnsi="Times New Roman" w:cs="Times New Roman"/>
          <w:sz w:val="28"/>
          <w:szCs w:val="28"/>
        </w:rPr>
        <w:t>Таким образом, организации и ИП на УСН освобождаются от НДС в двух случаях (п. 1 ст. 145 НК РФ):</w:t>
      </w:r>
    </w:p>
    <w:p w14:paraId="2F13FF9F" w14:textId="77777777" w:rsidR="00FC475A" w:rsidRPr="00FC475A" w:rsidRDefault="00FC475A" w:rsidP="00DE705B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5A">
        <w:rPr>
          <w:rFonts w:ascii="Times New Roman" w:eastAsia="Times New Roman" w:hAnsi="Times New Roman" w:cs="Times New Roman"/>
          <w:sz w:val="28"/>
          <w:szCs w:val="28"/>
        </w:rPr>
        <w:t>если сумма их доходов за предыдущий год не превысила в совокупности 60 млн руб.;</w:t>
      </w:r>
    </w:p>
    <w:p w14:paraId="2D423315" w14:textId="77777777" w:rsidR="00FC475A" w:rsidRPr="00FC475A" w:rsidRDefault="00FC475A" w:rsidP="00DE705B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5A">
        <w:rPr>
          <w:rFonts w:ascii="Times New Roman" w:eastAsia="Times New Roman" w:hAnsi="Times New Roman" w:cs="Times New Roman"/>
          <w:sz w:val="28"/>
          <w:szCs w:val="28"/>
        </w:rPr>
        <w:lastRenderedPageBreak/>
        <w:t>это вновь созданная организация или вновь зарегистрированный ИП.</w:t>
      </w:r>
    </w:p>
    <w:p w14:paraId="5FAE6892" w14:textId="77777777" w:rsidR="00FC475A" w:rsidRPr="00FC475A" w:rsidRDefault="00FC475A" w:rsidP="00DE7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5A">
        <w:rPr>
          <w:rFonts w:ascii="Times New Roman" w:eastAsia="Times New Roman" w:hAnsi="Times New Roman" w:cs="Times New Roman"/>
          <w:sz w:val="28"/>
          <w:szCs w:val="28"/>
        </w:rPr>
        <w:t>Данная группа плательщиков не выставляет счета-фактуры (абз.2 п.5 ст.168 НК РФ в редакции </w:t>
      </w:r>
      <w:hyperlink r:id="rId8" w:history="1">
        <w:r w:rsidRPr="00FC475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Федерального закона от 12.07.2024 № 176-ФЗ</w:t>
        </w:r>
      </w:hyperlink>
      <w:r w:rsidRPr="00FC475A">
        <w:rPr>
          <w:rFonts w:ascii="Times New Roman" w:eastAsia="Times New Roman" w:hAnsi="Times New Roman" w:cs="Times New Roman"/>
          <w:sz w:val="28"/>
          <w:szCs w:val="28"/>
        </w:rPr>
        <w:t>), не ведёт книгу продаж и книгу покупок, не представляет декларации по НДС.</w:t>
      </w:r>
    </w:p>
    <w:p w14:paraId="40EE8EDE" w14:textId="61188FC0" w:rsidR="00FC475A" w:rsidRPr="00FC475A" w:rsidRDefault="00DE705B" w:rsidP="00DE7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05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C475A" w:rsidRPr="00FC475A">
        <w:rPr>
          <w:rFonts w:ascii="Times New Roman" w:eastAsia="Times New Roman" w:hAnsi="Times New Roman" w:cs="Times New Roman"/>
          <w:sz w:val="28"/>
          <w:szCs w:val="28"/>
        </w:rPr>
        <w:t>реимущества</w:t>
      </w:r>
      <w:r w:rsidRPr="00DE7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75A" w:rsidRPr="00FC475A">
        <w:rPr>
          <w:rFonts w:ascii="Times New Roman" w:eastAsia="Times New Roman" w:hAnsi="Times New Roman" w:cs="Times New Roman"/>
          <w:sz w:val="28"/>
          <w:szCs w:val="28"/>
        </w:rPr>
        <w:t>электронного документооборота в части НДС, которое позволяет контрагентам согласовать, подписать и отправить документы за считанные минуты. Счет-фактура в электронной форме составляется по взаимному согласию сторон сделки и при наличии у них совместимых технических средств и возможностей для приема и обработки таких счетов-фактур, если иное не предусмотрено </w:t>
      </w:r>
      <w:hyperlink r:id="rId9" w:history="1">
        <w:r w:rsidR="00FC475A" w:rsidRPr="00FC475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ст.169 НК РФ</w:t>
        </w:r>
      </w:hyperlink>
      <w:r w:rsidR="00FC475A" w:rsidRPr="00FC4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EBAEB8" w14:textId="77777777" w:rsidR="00FC475A" w:rsidRPr="00FC475A" w:rsidRDefault="00FC475A" w:rsidP="00DE7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5A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Дополнительную информацию об особенностях перехода на электронный документооборот можно узнать на сайте ФНС России на </w:t>
      </w:r>
      <w:proofErr w:type="spellStart"/>
      <w:r w:rsidRPr="00FC475A">
        <w:rPr>
          <w:rFonts w:ascii="Times New Roman" w:eastAsia="Times New Roman" w:hAnsi="Times New Roman" w:cs="Times New Roman"/>
          <w:sz w:val="28"/>
          <w:szCs w:val="28"/>
        </w:rPr>
        <w:t>промостранице</w:t>
      </w:r>
      <w:proofErr w:type="spellEnd"/>
      <w:r w:rsidRPr="00FC475A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history="1">
        <w:r w:rsidRPr="00FC475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«Электронный документооборот»</w:t>
        </w:r>
      </w:hyperlink>
      <w:r w:rsidRPr="00FC4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2A045F" w14:textId="4CAC9CD3" w:rsidR="0091724B" w:rsidRPr="00DE705B" w:rsidRDefault="00DE705B" w:rsidP="00DE705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05B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DE705B">
        <w:rPr>
          <w:rFonts w:ascii="Times New Roman" w:hAnsi="Times New Roman" w:cs="Times New Roman"/>
          <w:bCs/>
          <w:sz w:val="28"/>
          <w:szCs w:val="28"/>
        </w:rPr>
        <w:t xml:space="preserve"> Информацию Москаленко Т.А., начальника отдела экономического развития, предпринимательства и сельского хозяйства принять к сведению.</w:t>
      </w:r>
    </w:p>
    <w:p w14:paraId="1D91E7DA" w14:textId="77777777" w:rsidR="001F10EF" w:rsidRPr="00DE705B" w:rsidRDefault="001F10EF" w:rsidP="00DE705B">
      <w:pPr>
        <w:pStyle w:val="a3"/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B4851" w14:textId="77777777" w:rsidR="00DE705B" w:rsidRDefault="001F10EF" w:rsidP="00DE70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05B">
        <w:rPr>
          <w:rFonts w:ascii="Times New Roman" w:hAnsi="Times New Roman" w:cs="Times New Roman"/>
          <w:sz w:val="28"/>
          <w:szCs w:val="28"/>
        </w:rPr>
        <w:t>Зам</w:t>
      </w:r>
      <w:r w:rsidR="002B7661" w:rsidRPr="00DE705B">
        <w:rPr>
          <w:rFonts w:ascii="Times New Roman" w:hAnsi="Times New Roman" w:cs="Times New Roman"/>
          <w:color w:val="000000" w:themeColor="text1"/>
          <w:sz w:val="28"/>
          <w:szCs w:val="28"/>
        </w:rPr>
        <w:t>ести</w:t>
      </w:r>
      <w:r w:rsidR="00333834" w:rsidRPr="00DE7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 председателя </w:t>
      </w:r>
    </w:p>
    <w:p w14:paraId="3C5C5520" w14:textId="4357CD80" w:rsidR="004734D1" w:rsidRPr="00DE705B" w:rsidRDefault="00DE705B" w:rsidP="00DE70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834" w:rsidRPr="00DE7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 w:rsidR="00333834" w:rsidRPr="00DE70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33834" w:rsidRPr="00DE70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734D1" w:rsidRPr="00DE7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8A3F9A" w:rsidRPr="00DE7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734D1" w:rsidRPr="00DE7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A3F9A" w:rsidRPr="00DE7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8A3F9A" w:rsidRPr="00DE7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34D1" w:rsidRPr="00DE705B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Т.А.</w:t>
      </w:r>
    </w:p>
    <w:p w14:paraId="4D40F864" w14:textId="1C619D9F" w:rsidR="00E77597" w:rsidRPr="00DE705B" w:rsidRDefault="00E77597" w:rsidP="00DE705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05B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комиссии                                          </w:t>
      </w:r>
      <w:r w:rsidR="00333834" w:rsidRPr="00DE705B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</w:t>
      </w:r>
      <w:r w:rsidR="00754659" w:rsidRPr="00DE7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67B92" w:rsidRPr="00DE7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F9A" w:rsidRPr="00DE7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67B92" w:rsidRPr="00DE7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4752" w:rsidRPr="00DE705B">
        <w:rPr>
          <w:rFonts w:ascii="Times New Roman" w:hAnsi="Times New Roman" w:cs="Times New Roman"/>
          <w:color w:val="000000" w:themeColor="text1"/>
          <w:sz w:val="28"/>
          <w:szCs w:val="28"/>
        </w:rPr>
        <w:t>Говорова Е</w:t>
      </w:r>
      <w:r w:rsidR="00E3062B" w:rsidRPr="00DE70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4752" w:rsidRPr="00DE705B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</w:p>
    <w:p w14:paraId="440A04A7" w14:textId="4CF1A345" w:rsidR="00451E0A" w:rsidRPr="00DE705B" w:rsidRDefault="00451E0A" w:rsidP="003A0D07">
      <w:pPr>
        <w:spacing w:after="0" w:line="48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51E0A" w:rsidRPr="00DE705B" w:rsidSect="00A0191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5656"/>
    <w:multiLevelType w:val="hybridMultilevel"/>
    <w:tmpl w:val="D73A532A"/>
    <w:lvl w:ilvl="0" w:tplc="2A067C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98143D"/>
    <w:multiLevelType w:val="hybridMultilevel"/>
    <w:tmpl w:val="F8987796"/>
    <w:lvl w:ilvl="0" w:tplc="3D7AE6E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2D1E"/>
    <w:multiLevelType w:val="multilevel"/>
    <w:tmpl w:val="01160C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  <w:color w:val="000000" w:themeColor="text1"/>
      </w:rPr>
    </w:lvl>
  </w:abstractNum>
  <w:abstractNum w:abstractNumId="3" w15:restartNumberingAfterBreak="0">
    <w:nsid w:val="28643CC4"/>
    <w:multiLevelType w:val="multilevel"/>
    <w:tmpl w:val="D072560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7" w:hanging="1440"/>
      </w:pPr>
      <w:rPr>
        <w:rFonts w:hint="default"/>
      </w:rPr>
    </w:lvl>
  </w:abstractNum>
  <w:abstractNum w:abstractNumId="4" w15:restartNumberingAfterBreak="0">
    <w:nsid w:val="3E921A10"/>
    <w:multiLevelType w:val="hybridMultilevel"/>
    <w:tmpl w:val="00680B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603F3"/>
    <w:multiLevelType w:val="hybridMultilevel"/>
    <w:tmpl w:val="E7289C48"/>
    <w:lvl w:ilvl="0" w:tplc="882EAE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62D24"/>
    <w:multiLevelType w:val="multilevel"/>
    <w:tmpl w:val="D5D0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493746"/>
    <w:multiLevelType w:val="multilevel"/>
    <w:tmpl w:val="7778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8B60E5"/>
    <w:multiLevelType w:val="hybridMultilevel"/>
    <w:tmpl w:val="64C6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A1826"/>
    <w:multiLevelType w:val="hybridMultilevel"/>
    <w:tmpl w:val="AFD29F2E"/>
    <w:lvl w:ilvl="0" w:tplc="33860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127EF"/>
    <w:multiLevelType w:val="hybridMultilevel"/>
    <w:tmpl w:val="764CD4B4"/>
    <w:lvl w:ilvl="0" w:tplc="749ACE00">
      <w:start w:val="1"/>
      <w:numFmt w:val="upperRoman"/>
      <w:lvlText w:val="%1."/>
      <w:lvlJc w:val="left"/>
      <w:pPr>
        <w:ind w:left="1797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" w15:restartNumberingAfterBreak="0">
    <w:nsid w:val="7CBE5293"/>
    <w:multiLevelType w:val="hybridMultilevel"/>
    <w:tmpl w:val="68FE6A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A6154"/>
    <w:multiLevelType w:val="hybridMultilevel"/>
    <w:tmpl w:val="2B34D934"/>
    <w:lvl w:ilvl="0" w:tplc="CF9ABDD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AF3EBF"/>
    <w:multiLevelType w:val="hybridMultilevel"/>
    <w:tmpl w:val="3DC62A22"/>
    <w:lvl w:ilvl="0" w:tplc="6ABC1552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20903745">
    <w:abstractNumId w:val="2"/>
  </w:num>
  <w:num w:numId="2" w16cid:durableId="638414869">
    <w:abstractNumId w:val="10"/>
  </w:num>
  <w:num w:numId="3" w16cid:durableId="2081051298">
    <w:abstractNumId w:val="13"/>
  </w:num>
  <w:num w:numId="4" w16cid:durableId="2005083400">
    <w:abstractNumId w:val="1"/>
  </w:num>
  <w:num w:numId="5" w16cid:durableId="27950974">
    <w:abstractNumId w:val="0"/>
  </w:num>
  <w:num w:numId="6" w16cid:durableId="1097629011">
    <w:abstractNumId w:val="3"/>
  </w:num>
  <w:num w:numId="7" w16cid:durableId="1169715816">
    <w:abstractNumId w:val="9"/>
  </w:num>
  <w:num w:numId="8" w16cid:durableId="1459105760">
    <w:abstractNumId w:val="12"/>
  </w:num>
  <w:num w:numId="9" w16cid:durableId="883716003">
    <w:abstractNumId w:val="11"/>
  </w:num>
  <w:num w:numId="10" w16cid:durableId="432633643">
    <w:abstractNumId w:val="5"/>
  </w:num>
  <w:num w:numId="11" w16cid:durableId="153953775">
    <w:abstractNumId w:val="4"/>
  </w:num>
  <w:num w:numId="12" w16cid:durableId="1061749684">
    <w:abstractNumId w:val="8"/>
  </w:num>
  <w:num w:numId="13" w16cid:durableId="692070728">
    <w:abstractNumId w:val="6"/>
  </w:num>
  <w:num w:numId="14" w16cid:durableId="13136774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597"/>
    <w:rsid w:val="000C471B"/>
    <w:rsid w:val="00155F39"/>
    <w:rsid w:val="0017738B"/>
    <w:rsid w:val="0019228B"/>
    <w:rsid w:val="001F10EF"/>
    <w:rsid w:val="002278C1"/>
    <w:rsid w:val="002B7661"/>
    <w:rsid w:val="00320D8C"/>
    <w:rsid w:val="00325504"/>
    <w:rsid w:val="00325D21"/>
    <w:rsid w:val="00326891"/>
    <w:rsid w:val="00333834"/>
    <w:rsid w:val="00343C49"/>
    <w:rsid w:val="003A0D07"/>
    <w:rsid w:val="003B2645"/>
    <w:rsid w:val="004412F2"/>
    <w:rsid w:val="00451E0A"/>
    <w:rsid w:val="00467725"/>
    <w:rsid w:val="004734D1"/>
    <w:rsid w:val="00492FDA"/>
    <w:rsid w:val="004C509D"/>
    <w:rsid w:val="004D0143"/>
    <w:rsid w:val="004D112B"/>
    <w:rsid w:val="004E2018"/>
    <w:rsid w:val="00521731"/>
    <w:rsid w:val="00566200"/>
    <w:rsid w:val="00581CD6"/>
    <w:rsid w:val="005861B3"/>
    <w:rsid w:val="005D0C75"/>
    <w:rsid w:val="005F0280"/>
    <w:rsid w:val="005F688D"/>
    <w:rsid w:val="00636314"/>
    <w:rsid w:val="006603ED"/>
    <w:rsid w:val="00667B92"/>
    <w:rsid w:val="006A7D32"/>
    <w:rsid w:val="006C57F0"/>
    <w:rsid w:val="006C7C11"/>
    <w:rsid w:val="006D0A4C"/>
    <w:rsid w:val="0075355A"/>
    <w:rsid w:val="00754659"/>
    <w:rsid w:val="00782CFB"/>
    <w:rsid w:val="00795AA3"/>
    <w:rsid w:val="007C58E7"/>
    <w:rsid w:val="00843A3A"/>
    <w:rsid w:val="00891780"/>
    <w:rsid w:val="008A3F9A"/>
    <w:rsid w:val="008B14E9"/>
    <w:rsid w:val="0091724B"/>
    <w:rsid w:val="00975725"/>
    <w:rsid w:val="00981A43"/>
    <w:rsid w:val="00984E0A"/>
    <w:rsid w:val="009E2EB8"/>
    <w:rsid w:val="009E4B04"/>
    <w:rsid w:val="009F599E"/>
    <w:rsid w:val="00A422FB"/>
    <w:rsid w:val="00AC1517"/>
    <w:rsid w:val="00AC71A1"/>
    <w:rsid w:val="00AD0D0A"/>
    <w:rsid w:val="00AE2E6C"/>
    <w:rsid w:val="00B8051F"/>
    <w:rsid w:val="00BA7704"/>
    <w:rsid w:val="00C33619"/>
    <w:rsid w:val="00C55E17"/>
    <w:rsid w:val="00C55E75"/>
    <w:rsid w:val="00C92758"/>
    <w:rsid w:val="00CA3429"/>
    <w:rsid w:val="00CE45AA"/>
    <w:rsid w:val="00D3054C"/>
    <w:rsid w:val="00D6706B"/>
    <w:rsid w:val="00D75A57"/>
    <w:rsid w:val="00D8321A"/>
    <w:rsid w:val="00DB3CFF"/>
    <w:rsid w:val="00DE5F9B"/>
    <w:rsid w:val="00DE705B"/>
    <w:rsid w:val="00E24752"/>
    <w:rsid w:val="00E3062B"/>
    <w:rsid w:val="00E5728F"/>
    <w:rsid w:val="00E76665"/>
    <w:rsid w:val="00E76E5C"/>
    <w:rsid w:val="00E77597"/>
    <w:rsid w:val="00E84D77"/>
    <w:rsid w:val="00EB0CBB"/>
    <w:rsid w:val="00EC6446"/>
    <w:rsid w:val="00EC71E4"/>
    <w:rsid w:val="00F10F96"/>
    <w:rsid w:val="00F50A54"/>
    <w:rsid w:val="00FA4F91"/>
    <w:rsid w:val="00F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96E6"/>
  <w15:docId w15:val="{6D54D412-2588-4B3F-98D0-FAAC6F5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47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597"/>
    <w:pPr>
      <w:ind w:left="720"/>
      <w:contextualSpacing/>
    </w:pPr>
  </w:style>
  <w:style w:type="table" w:styleId="a4">
    <w:name w:val="Table Grid"/>
    <w:basedOn w:val="a1"/>
    <w:uiPriority w:val="59"/>
    <w:rsid w:val="00E775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89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C47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407120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sn.nalog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77/about_fts/el_us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alog.gov.ru/rn71/about_fts/docs/15482811/" TargetMode="External"/><Relationship Id="rId10" Type="http://schemas.openxmlformats.org/officeDocument/2006/relationships/hyperlink" Target="https://www.nalog.gov.ru/rn77/related_activities/el_do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log.garant.ru/fns/nk/48e21c9d0abeceead6308489bb637bf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Москаленко Татьяна Александровна</cp:lastModifiedBy>
  <cp:revision>2</cp:revision>
  <cp:lastPrinted>2024-12-26T13:57:00Z</cp:lastPrinted>
  <dcterms:created xsi:type="dcterms:W3CDTF">2025-02-04T09:12:00Z</dcterms:created>
  <dcterms:modified xsi:type="dcterms:W3CDTF">2025-02-04T09:12:00Z</dcterms:modified>
</cp:coreProperties>
</file>